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"/>
        <w:jc w:val="center"/>
      </w:pPr>
      <w:r>
        <w:rPr>
          <w:rFonts w:ascii="Arial" w:hAnsi="Arial" w:eastAsia="Microsoft YaHei"/>
          <w:b/>
          <w:color w:val="1F4E78"/>
          <w:sz w:val="36"/>
        </w:rPr>
        <w:t>33_core_findings｜GA4 电商转化分析核心发现</w:t>
      </w:r>
    </w:p>
    <w:p>
      <w:pPr>
        <w:pStyle w:val="DocSubtitle"/>
        <w:jc w:val="center"/>
      </w:pPr>
      <w:r>
        <w:rPr>
          <w:rFonts w:ascii="Arial" w:hAnsi="Arial" w:eastAsia="Microsoft YaHei"/>
          <w:color w:val="666666"/>
          <w:sz w:val="21"/>
        </w:rPr>
        <w:t>项目：GA4 E-commerce Funnel Analysis｜用于最终业务报告、README 与面试项目讲述</w:t>
      </w:r>
    </w:p>
    <w:p>
      <w:pPr>
        <w:jc w:val="center"/>
      </w:pPr>
      <w:r>
        <w:rPr>
          <w:rFonts w:ascii="Arial" w:hAnsi="Arial" w:eastAsia="Microsoft YaHei"/>
          <w:color w:val="B7C9D9"/>
          <w:sz w:val="16"/>
        </w:rPr>
        <w:t>━━━━━━━━━━━━━━━━━━━━━━━━━━━━━━━━━━━━━━━━━━━━━━━━━━━━━━━━━━</w:t>
      </w:r>
    </w:p>
    <w:p>
      <w:pPr>
        <w:pStyle w:val="SectionHeading"/>
      </w:pPr>
      <w:r>
        <w:rPr>
          <w:rFonts w:ascii="Arial" w:hAnsi="Arial" w:eastAsia="Microsoft YaHei"/>
          <w:b/>
          <w:color w:val="1F4E78"/>
          <w:sz w:val="26"/>
        </w:rPr>
        <w:t>一、项目目标</w:t>
      </w:r>
    </w:p>
    <w:p>
      <w:pPr>
        <w:spacing w:after="100"/>
      </w:pPr>
      <w:r>
        <w:rPr>
          <w:rFonts w:ascii="Arial" w:hAnsi="Arial" w:eastAsia="Microsoft YaHei"/>
          <w:sz w:val="20"/>
        </w:rPr>
        <w:t>识别用户从访问网站到完成购买过程中的主要流失环节，判断问题是否集中在特定时间、来源或商品，并将数据发现转化为可执行、可验证的业务建议。</w:t>
      </w:r>
    </w:p>
    <w:p>
      <w:pPr>
        <w:pStyle w:val="SectionHeading"/>
      </w:pPr>
      <w:r>
        <w:rPr>
          <w:rFonts w:ascii="Arial" w:hAnsi="Arial" w:eastAsia="Microsoft YaHei"/>
          <w:b/>
          <w:color w:val="1F4E78"/>
          <w:sz w:val="26"/>
        </w:rPr>
        <w:t>二、核心指标概览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有效会话</w:t>
            </w:r>
          </w:p>
        </w:tc>
        <w:tc>
          <w:tcPr>
            <w:tcW w:type="dxa" w:w="255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浏览商品</w:t>
            </w:r>
          </w:p>
        </w:tc>
        <w:tc>
          <w:tcPr>
            <w:tcW w:type="dxa" w:w="255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开始结账</w:t>
            </w:r>
          </w:p>
        </w:tc>
        <w:tc>
          <w:tcPr>
            <w:tcW w:type="dxa" w:w="255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完成购买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222222"/>
                <w:sz w:val="24"/>
              </w:rPr>
              <w:t>354,857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222222"/>
                <w:sz w:val="24"/>
              </w:rPr>
              <w:t>75,264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222222"/>
                <w:sz w:val="24"/>
              </w:rPr>
              <w:t>10,572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222222"/>
                <w:sz w:val="24"/>
              </w:rPr>
              <w:t>4,592</w:t>
            </w:r>
          </w:p>
        </w:tc>
      </w:tr>
    </w:tbl>
    <w:p>
      <w:pPr>
        <w:jc w:val="center"/>
      </w:pPr>
      <w:r>
        <w:rPr>
          <w:rFonts w:ascii="Arial" w:hAnsi="Arial" w:eastAsia="Microsoft YaHei"/>
          <w:b/>
          <w:color w:val="B42318"/>
          <w:sz w:val="22"/>
        </w:rPr>
        <w:t>严格整体购买转化率：1.29%</w:t>
      </w:r>
    </w:p>
    <w:p>
      <w:pPr>
        <w:pStyle w:val="SectionHeading"/>
      </w:pPr>
      <w:r>
        <w:rPr>
          <w:rFonts w:ascii="Arial" w:hAnsi="Arial" w:eastAsia="Microsoft YaHei"/>
          <w:b/>
          <w:color w:val="1F4E78"/>
          <w:sz w:val="26"/>
        </w:rPr>
        <w:t>三、核心发现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shd w:fill="EAF3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/>
                <w:color w:val="1F4E78"/>
                <w:sz w:val="22"/>
              </w:rPr>
              <w:t>发现 1｜整体购买转化率较低，主要流失集中在漏斗前半段</w:t>
            </w:r>
          </w:p>
        </w:tc>
      </w:tr>
      <w:tr>
        <w:tc>
          <w:tcPr>
            <w:tcW w:type="dxa" w:w="5112"/>
            <w:shd w:fill="EDF2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F4E78"/>
                <w:sz w:val="18"/>
              </w:rPr>
              <w:t>数字证据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Microsoft YaHei"/>
                <w:color w:val="222222"/>
                <w:sz w:val="18"/>
              </w:rPr>
              <w:t>访问→浏览：21.21%；浏览→结账：14.05%；结账→购买：43.44%；严格整体购买率：1.29%。</w:t>
            </w:r>
          </w:p>
        </w:tc>
      </w:tr>
      <w:tr>
        <w:tc>
          <w:tcPr>
            <w:tcW w:type="dxa" w:w="5112"/>
            <w:shd w:fill="EDF2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F4E78"/>
                <w:sz w:val="18"/>
              </w:rPr>
              <w:t>业务意义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Microsoft YaHei"/>
                <w:color w:val="222222"/>
                <w:sz w:val="18"/>
              </w:rPr>
              <w:t>最大的优化空间主要在用户是否进入商品详情，以及浏览后是否产生结账意愿，而不只是最终支付环节。</w:t>
            </w:r>
          </w:p>
        </w:tc>
      </w:tr>
      <w:tr>
        <w:tc>
          <w:tcPr>
            <w:tcW w:type="dxa" w:w="5112"/>
            <w:shd w:fill="EDF2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F4E78"/>
                <w:sz w:val="18"/>
              </w:rPr>
              <w:t>建议动作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Microsoft YaHei"/>
                <w:color w:val="2E7D32"/>
                <w:sz w:val="18"/>
              </w:rPr>
              <w:t>优先检查首页/落地页到商品详情页的引导，以及高浏览商品的价格、信息、库存和购买入口。</w:t>
            </w:r>
          </w:p>
        </w:tc>
      </w:tr>
      <w:tr>
        <w:tc>
          <w:tcPr>
            <w:tcW w:type="dxa" w:w="5112"/>
            <w:shd w:fill="EDF2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F4E78"/>
                <w:sz w:val="18"/>
              </w:rPr>
              <w:t>当前不能证明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Microsoft YaHei"/>
                <w:color w:val="B42318"/>
                <w:sz w:val="18"/>
              </w:rPr>
              <w:t>不能仅凭漏斗断定首页、商品页或价格一定有问题；漏斗只能定位问题发生在哪一段。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shd w:fill="EAF3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/>
                <w:color w:val="1F4E78"/>
                <w:sz w:val="22"/>
              </w:rPr>
              <w:t>发现 2｜1 月购买率明显下降，且下降主要发生在漏斗前半段</w:t>
            </w:r>
          </w:p>
        </w:tc>
      </w:tr>
      <w:tr>
        <w:tc>
          <w:tcPr>
            <w:tcW w:type="dxa" w:w="5112"/>
            <w:shd w:fill="EDF2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F4E78"/>
                <w:sz w:val="18"/>
              </w:rPr>
              <w:t>数字证据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Microsoft YaHei"/>
                <w:color w:val="222222"/>
                <w:sz w:val="18"/>
              </w:rPr>
              <w:t>11 月、12 月、1 月整体购买率分别为 1.44%、1.53%、0.90%。1 月访问→浏览降至 19.31%，浏览→结账降至 8.91%；结账→购买反而升至 52.32%。</w:t>
            </w:r>
          </w:p>
        </w:tc>
      </w:tr>
      <w:tr>
        <w:tc>
          <w:tcPr>
            <w:tcW w:type="dxa" w:w="5112"/>
            <w:shd w:fill="EDF2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F4E78"/>
                <w:sz w:val="18"/>
              </w:rPr>
              <w:t>业务意义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Microsoft YaHei"/>
                <w:color w:val="222222"/>
                <w:sz w:val="18"/>
              </w:rPr>
              <w:t>1 月更可能是更少用户继续向结账推进，而不是已经结账的用户无法完成购买。</w:t>
            </w:r>
          </w:p>
        </w:tc>
      </w:tr>
      <w:tr>
        <w:tc>
          <w:tcPr>
            <w:tcW w:type="dxa" w:w="5112"/>
            <w:shd w:fill="EDF2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F4E78"/>
                <w:sz w:val="18"/>
              </w:rPr>
              <w:t>建议动作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Microsoft YaHei"/>
                <w:color w:val="2E7D32"/>
                <w:sz w:val="18"/>
              </w:rPr>
              <w:t>进一步比较 12 月与 1 月的来源结构、商品结构、促销活动和库存情况，重点排查浏览→结账下降原因。</w:t>
            </w:r>
          </w:p>
        </w:tc>
      </w:tr>
      <w:tr>
        <w:tc>
          <w:tcPr>
            <w:tcW w:type="dxa" w:w="5112"/>
            <w:shd w:fill="EDF2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F4E78"/>
                <w:sz w:val="18"/>
              </w:rPr>
              <w:t>当前不能证明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Microsoft YaHei"/>
                <w:color w:val="B42318"/>
                <w:sz w:val="18"/>
              </w:rPr>
              <w:t>不能仅凭时间趋势认定是季节、流量质量、促销或库存变化造成，需要更多业务数据验证。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shd w:fill="EAF3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/>
                <w:color w:val="1F4E78"/>
                <w:sz w:val="22"/>
              </w:rPr>
              <w:t>发现 3｜设备类型不是主要问题，但不同首次获客来源的转化存在差异</w:t>
            </w:r>
          </w:p>
        </w:tc>
      </w:tr>
      <w:tr>
        <w:tc>
          <w:tcPr>
            <w:tcW w:type="dxa" w:w="5112"/>
            <w:shd w:fill="EDF2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F4E78"/>
                <w:sz w:val="18"/>
              </w:rPr>
              <w:t>数字证据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Microsoft YaHei"/>
                <w:color w:val="222222"/>
                <w:sz w:val="18"/>
              </w:rPr>
              <w:t>desktop、mobile、tablet 整体购买率约为 1.27%、1.33%、1.24%，差异很小；google / organic 约 1.06%，google / cpc 约 0.95%，均低于总体 1.29%。</w:t>
            </w:r>
          </w:p>
        </w:tc>
      </w:tr>
      <w:tr>
        <w:tc>
          <w:tcPr>
            <w:tcW w:type="dxa" w:w="5112"/>
            <w:shd w:fill="EDF2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F4E78"/>
                <w:sz w:val="18"/>
              </w:rPr>
              <w:t>业务意义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Microsoft YaHei"/>
                <w:color w:val="222222"/>
                <w:sz w:val="18"/>
              </w:rPr>
              <w:t>当前没有必要优先做设备专项优化；规模较大的搜索来源更值得继续调查。</w:t>
            </w:r>
          </w:p>
        </w:tc>
      </w:tr>
      <w:tr>
        <w:tc>
          <w:tcPr>
            <w:tcW w:type="dxa" w:w="5112"/>
            <w:shd w:fill="EDF2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F4E78"/>
                <w:sz w:val="18"/>
              </w:rPr>
              <w:t>建议动作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Microsoft YaHei"/>
                <w:color w:val="2E7D32"/>
                <w:sz w:val="18"/>
              </w:rPr>
              <w:t>检查搜索关键词、广告内容、用户搜索意图与落地页面是否匹配，并继续拆解不同搜索入口。</w:t>
            </w:r>
          </w:p>
        </w:tc>
      </w:tr>
      <w:tr>
        <w:tc>
          <w:tcPr>
            <w:tcW w:type="dxa" w:w="5112"/>
            <w:shd w:fill="EDF2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F4E78"/>
                <w:sz w:val="18"/>
              </w:rPr>
              <w:t>当前不能证明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Microsoft YaHei"/>
                <w:color w:val="B42318"/>
                <w:sz w:val="18"/>
              </w:rPr>
              <w:t>traffic_source 是首次获客来源，不一定代表本次会话来源；没有广告成本，不能评价 CPC 的 ROI。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shd w:fill="EAF3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/>
                <w:color w:val="1F4E78"/>
                <w:sz w:val="22"/>
              </w:rPr>
              <w:t>发现 4｜商品表现分化明显：高浏览低转化与低浏览高转化同时存在</w:t>
            </w:r>
          </w:p>
        </w:tc>
      </w:tr>
      <w:tr>
        <w:tc>
          <w:tcPr>
            <w:tcW w:type="dxa" w:w="5112"/>
            <w:shd w:fill="EDF2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F4E78"/>
                <w:sz w:val="18"/>
              </w:rPr>
              <w:t>数字证据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Microsoft YaHei"/>
                <w:color w:val="222222"/>
                <w:sz w:val="18"/>
              </w:rPr>
              <w:t>233 个商品中：48 个高浏览低转化、11 个高浏览高转化、88 个低浏览高转化；整体严格浏览→购买基准为 0.83%。Google Campus Bike Eco Tee Navy：13,866 次浏览、0.16% 严格购买率；Google Camp Mug Ivory：3,110 次浏览、3.76% 严格购买率。</w:t>
            </w:r>
          </w:p>
        </w:tc>
      </w:tr>
      <w:tr>
        <w:tc>
          <w:tcPr>
            <w:tcW w:type="dxa" w:w="5112"/>
            <w:shd w:fill="EDF2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F4E78"/>
                <w:sz w:val="18"/>
              </w:rPr>
              <w:t>业务意义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Microsoft YaHei"/>
                <w:color w:val="222222"/>
                <w:sz w:val="18"/>
              </w:rPr>
              <w:t>高浏览低转化商品影响用户规模大，适合优先排查；低浏览高转化商品可能存在增加有效曝光的机会。</w:t>
            </w:r>
          </w:p>
        </w:tc>
      </w:tr>
      <w:tr>
        <w:tc>
          <w:tcPr>
            <w:tcW w:type="dxa" w:w="5112"/>
            <w:shd w:fill="EDF2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F4E78"/>
                <w:sz w:val="18"/>
              </w:rPr>
              <w:t>建议动作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Microsoft YaHei"/>
                <w:color w:val="2E7D32"/>
                <w:sz w:val="18"/>
              </w:rPr>
              <w:t>先检查高浏览低转化商品的库存、状态、SKU 映射、价格和页面信息；对高转化低曝光商品设计推荐位置 A/B 实验。</w:t>
            </w:r>
          </w:p>
        </w:tc>
      </w:tr>
      <w:tr>
        <w:tc>
          <w:tcPr>
            <w:tcW w:type="dxa" w:w="5112"/>
            <w:shd w:fill="EDF2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F4E78"/>
                <w:sz w:val="18"/>
              </w:rPr>
              <w:t>当前不能证明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Microsoft YaHei"/>
                <w:color w:val="B42318"/>
                <w:sz w:val="18"/>
              </w:rPr>
              <w:t>不能直接说低转化由价格或页面造成，也不能认定增加曝光一定会增加整体销量，可能只是替代其他商品购买。</w:t>
            </w:r>
          </w:p>
        </w:tc>
      </w:tr>
    </w:tbl>
    <w:p>
      <w:pPr>
        <w:spacing w:after="40"/>
      </w:pPr>
    </w:p>
    <w:p>
      <w:pPr>
        <w:pStyle w:val="SectionHeading"/>
      </w:pPr>
      <w:r>
        <w:rPr>
          <w:rFonts w:ascii="Arial" w:hAnsi="Arial" w:eastAsia="Microsoft YaHei"/>
          <w:b/>
          <w:color w:val="1F4E78"/>
          <w:sz w:val="26"/>
        </w:rPr>
        <w:t>四、总体判断</w:t>
      </w:r>
    </w:p>
    <w:p>
      <w:r>
        <w:rPr>
          <w:rFonts w:ascii="Arial" w:hAnsi="Arial" w:eastAsia="Microsoft YaHei"/>
          <w:sz w:val="19"/>
        </w:rPr>
        <w:t>本次分析发现，整体购买转化问题主要集中在漏斗前半段，尤其是用户进入商品浏览以及浏览后开始结账的过程。设备差异较小，不应作为优先优化方向；不同首次获客来源和不同商品之间的表现差异更明显。1 月转化率下降也主要来自漏斗前半段。基于这些结果，下一步应优先检查搜索流量与落地内容的匹配、高浏览低转化商品的业务和数据异常，并通过 A/B 实验验证增加高转化低曝光商品展示是否能提高整体购买率。</w:t>
      </w:r>
    </w:p>
    <w:p>
      <w:pPr>
        <w:pStyle w:val="SectionHeading"/>
      </w:pPr>
      <w:r>
        <w:rPr>
          <w:rFonts w:ascii="Arial" w:hAnsi="Arial" w:eastAsia="Microsoft YaHei"/>
          <w:b/>
          <w:color w:val="1F4E78"/>
          <w:sz w:val="26"/>
        </w:rPr>
        <w:t>五、分析限制</w:t>
      </w:r>
    </w:p>
    <w:p>
      <w:pPr>
        <w:spacing w:after="40"/>
        <w:ind w:left="216"/>
      </w:pPr>
      <w:r>
        <w:rPr>
          <w:rFonts w:ascii="Arial" w:hAnsi="Arial" w:eastAsia="Microsoft YaHei"/>
          <w:sz w:val="18"/>
        </w:rPr>
        <w:t>• 项目使用经过混淆的 GA4 公开电商数据，部分字段与事件路径可能存在缺失或不完全一致。</w:t>
      </w:r>
    </w:p>
    <w:p>
      <w:pPr>
        <w:spacing w:after="40"/>
        <w:ind w:left="216"/>
      </w:pPr>
      <w:r>
        <w:rPr>
          <w:rFonts w:ascii="Arial" w:hAnsi="Arial" w:eastAsia="Microsoft YaHei"/>
          <w:sz w:val="18"/>
        </w:rPr>
        <w:t>• 部分订单号、商品收入和购买事件存在缺失或重复，因此收入相关指标采用去重和覆盖率约束后的口径。</w:t>
      </w:r>
    </w:p>
    <w:p>
      <w:pPr>
        <w:spacing w:after="40"/>
        <w:ind w:left="216"/>
      </w:pPr>
      <w:r>
        <w:rPr>
          <w:rFonts w:ascii="Arial" w:hAnsi="Arial" w:eastAsia="Microsoft YaHei"/>
          <w:sz w:val="18"/>
        </w:rPr>
        <w:t>• 商品分析按标准化商品名称进行，不是 SKU 级分析。</w:t>
      </w:r>
    </w:p>
    <w:p>
      <w:pPr>
        <w:spacing w:after="40"/>
        <w:ind w:left="216"/>
      </w:pPr>
      <w:r>
        <w:rPr>
          <w:rFonts w:ascii="Arial" w:hAnsi="Arial" w:eastAsia="Microsoft YaHei"/>
          <w:sz w:val="18"/>
        </w:rPr>
        <w:t>• traffic_source 表示首次获客来源，不等于本次会话来源。</w:t>
      </w:r>
    </w:p>
    <w:p>
      <w:pPr>
        <w:spacing w:after="40"/>
        <w:ind w:left="216"/>
      </w:pPr>
      <w:r>
        <w:rPr>
          <w:rFonts w:ascii="Arial" w:hAnsi="Arial" w:eastAsia="Microsoft YaHei"/>
          <w:sz w:val="18"/>
        </w:rPr>
        <w:t>• 当前结论属于描述性分析和异常定位，不能单独证明因果关系；具体原因需要更多业务数据或实验验证。</w:t>
      </w:r>
    </w:p>
    <w:p>
      <w:pPr>
        <w:jc w:val="center"/>
      </w:pPr>
      <w:r>
        <w:rPr>
          <w:rFonts w:ascii="Arial" w:hAnsi="Arial" w:eastAsia="Microsoft YaHei"/>
          <w:color w:val="777777"/>
          <w:sz w:val="17"/>
        </w:rPr>
        <w:t>用途：最终业务报告骨架｜README 核心结论｜面试项目讲述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rPr>
      <w:rFonts w:ascii="Arial" w:hAnsi="Arial" w:eastAsia="Microsoft YaHei"/>
      <w:b/>
      <w:color w:val="1F4E78"/>
      <w:sz w:val="36"/>
    </w:rPr>
  </w:style>
  <w:style w:type="paragraph" w:customStyle="1" w:styleId="DocSubtitle">
    <w:name w:val="DocSubtitle"/>
    <w:rPr>
      <w:rFonts w:ascii="Arial" w:hAnsi="Arial" w:eastAsia="Microsoft YaHei"/>
      <w:b w:val="0"/>
      <w:color w:val="666666"/>
      <w:sz w:val="21"/>
    </w:rPr>
  </w:style>
  <w:style w:type="paragraph" w:customStyle="1" w:styleId="SectionHeading">
    <w:name w:val="SectionHeading"/>
    <w:rPr>
      <w:rFonts w:ascii="Arial" w:hAnsi="Arial" w:eastAsia="Microsoft YaHei"/>
      <w:b/>
      <w:color w:val="1F4E78"/>
      <w:sz w:val="26"/>
    </w:rPr>
  </w:style>
  <w:style w:type="paragraph" w:customStyle="1" w:styleId="FindingHeading">
    <w:name w:val="FindingHeading"/>
    <w:rPr>
      <w:rFonts w:ascii="Arial" w:hAnsi="Arial" w:eastAsia="Microsoft YaHei"/>
      <w:b/>
      <w:color w:val="222222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