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34_action_recommendations</w:t>
      </w:r>
    </w:p>
    <w:p>
      <w:pPr>
        <w:pStyle w:val="SectionHeading"/>
        <w:jc w:val="center"/>
      </w:pPr>
      <w:r>
        <w:rPr>
          <w:sz w:val="30"/>
        </w:rPr>
        <w:t>GA4 电商转化漏斗分析：业务建议与执行方案</w:t>
      </w:r>
    </w:p>
    <w:p>
      <w:pPr>
        <w:pStyle w:val="CustomSubtitle"/>
        <w:jc w:val="center"/>
      </w:pPr>
      <w:r>
        <w:t>由核心发现转化为可执行、可验证、可排序的业务行动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1"/>
      </w:tblGrid>
      <w:tr>
        <w:tc>
          <w:tcPr>
            <w:tcW w:type="dxa" w:w="9978"/>
            <w:shd w:fill="EEF6F6"/>
            <w:tcBorders>
              <w:top w:val="single" w:sz="8" w:color="99D5D0"/>
              <w:left w:val="single" w:sz="8" w:color="99D5D0"/>
              <w:bottom w:val="single" w:sz="8" w:color="99D5D0"/>
              <w:right w:val="single" w:sz="8" w:color="99D5D0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15E59"/>
                <w:sz w:val="20"/>
              </w:rPr>
              <w:t>执行原则：先排除数据或交易流程异常，再定位高影响问题，最后通过 A/B 实验验证优化方案。</w:t>
            </w:r>
          </w:p>
        </w:tc>
      </w:tr>
    </w:tbl>
    <w:p/>
    <w:p>
      <w:pPr>
        <w:pStyle w:val="SectionHeading"/>
      </w:pPr>
      <w:r>
        <w:t>一、建议总览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3515"/>
        <w:gridCol w:w="2608"/>
      </w:tblGrid>
      <w:tr>
        <w:trPr>
          <w:tblHeader w:val="true"/>
        </w:trPr>
        <w:tc>
          <w:tcPr>
            <w:tcW w:type="dxa" w:w="2494"/>
            <w:shd w:fill="17324D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94"/>
            <w:shd w:fill="17324D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建议主题</w:t>
            </w:r>
          </w:p>
        </w:tc>
        <w:tc>
          <w:tcPr>
            <w:tcW w:type="dxa" w:w="2494"/>
            <w:shd w:fill="17324D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核心动作</w:t>
            </w:r>
          </w:p>
        </w:tc>
        <w:tc>
          <w:tcPr>
            <w:tcW w:type="dxa" w:w="2494"/>
            <w:shd w:fill="17324D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主要验证指标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  <w:shd w:fill="FDE8E7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B42318"/>
                <w:sz w:val="18"/>
              </w:rPr>
              <w:t>P0</w:t>
            </w:r>
          </w:p>
        </w:tc>
        <w:tc>
          <w:tcPr>
            <w:tcW w:type="dxa" w:w="2551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排查高浏览、低转化商品</w:t>
            </w:r>
          </w:p>
        </w:tc>
        <w:tc>
          <w:tcPr>
            <w:tcW w:type="dxa" w:w="3515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先核查库存、上下架状态、规格选择、SKU/商品名称映射和购买链路是否正常。</w:t>
            </w:r>
          </w:p>
        </w:tc>
        <w:tc>
          <w:tcPr>
            <w:tcW w:type="dxa" w:w="2608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浏览→结账率、严格购买率、同会话加购后购买率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  <w:shd w:fill="FFF2CC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7A5D00"/>
                <w:sz w:val="18"/>
              </w:rPr>
              <w:t>P1</w:t>
            </w:r>
          </w:p>
        </w:tc>
        <w:tc>
          <w:tcPr>
            <w:tcW w:type="dxa" w:w="2551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调查搜索来源与落地页面匹配</w:t>
            </w:r>
          </w:p>
        </w:tc>
        <w:tc>
          <w:tcPr>
            <w:tcW w:type="dxa" w:w="3515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按关键词、广告组、落地页和商品类别继续拆解，检查搜索意图与落地内容是否一致。</w:t>
            </w:r>
          </w:p>
        </w:tc>
        <w:tc>
          <w:tcPr>
            <w:tcW w:type="dxa" w:w="2608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访问→浏览率、浏览→结账率、整体购买率</w:t>
            </w:r>
          </w:p>
        </w:tc>
      </w:tr>
      <w:tr>
        <w:tc>
          <w:tcPr>
            <w:tcW w:type="dxa" w:w="1134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  <w:shd w:fill="FFF2CC"/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7A5D00"/>
                <w:sz w:val="18"/>
              </w:rPr>
              <w:t>P1</w:t>
            </w:r>
          </w:p>
        </w:tc>
        <w:tc>
          <w:tcPr>
            <w:tcW w:type="dxa" w:w="2551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测试增加高转化、低曝光商品展示</w:t>
            </w:r>
          </w:p>
        </w:tc>
        <w:tc>
          <w:tcPr>
            <w:tcW w:type="dxa" w:w="3515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选择数据可靠的候选商品，提高首页或推荐模块展示位置，并开展用户级 A/B 实验。</w:t>
            </w:r>
          </w:p>
        </w:tc>
        <w:tc>
          <w:tcPr>
            <w:tcW w:type="dxa" w:w="2608"/>
            <w:vAlign w:val="center"/>
            <w:tcBorders>
              <w:top w:val="single" w:sz="4" w:color="D8E2E8"/>
              <w:left w:val="single" w:sz="4" w:color="D8E2E8"/>
              <w:bottom w:val="single" w:sz="4" w:color="D8E2E8"/>
              <w:right w:val="single" w:sz="4" w:color="D8E2E8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整体购买率、每会话收入、其他商品购买率</w:t>
            </w:r>
          </w:p>
        </w:tc>
      </w:tr>
    </w:tbl>
    <w:p/>
    <w:p>
      <w:pPr>
        <w:pStyle w:val="RecommendationHeading"/>
        <w:spacing w:before="200"/>
      </w:pPr>
      <w:r>
        <w:t>建议一：排查高浏览、低转化商品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B42318"/>
          <w:sz w:val="20"/>
        </w:rPr>
        <w:t>优先级：P0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对应发现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部分商品浏览量较高，但严格浏览到购买率明显低于整体商品基准 0.83%；部分商品加购量较大，但同会话购买数为 0 或极低。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建议动作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优先检查 Google Campus Bike Eco Tee Navy、Google Women's Striped L/S、Google F/C Long Sleeve Tee Charcoal 等异常商品。核查商品是否缺货、下架、无法选择规格、无法进入结账，以及浏览、加购、购买阶段的商品名称和 SKU 映射是否一致。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为什么优先做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这些商品影响的用户数量较大，而且部分异常可能来自数据映射、库存状态或购买链路问题。应先排除基础问题，再讨论页面优化、定价或营销策略。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还需要什么数据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商品库存、上下架状态、价格、尺码与颜色、商品页面错误日志、结账失败记录、SKU 映射表、跨会话购物车记录。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如何验证结果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修复或确认问题后，持续观察商品的浏览→结账率、严格浏览→购买率、同会话加购后购买率和购买订单数是否改善。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注意事项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当前数据只能定位异常，不能证明低转化一定由价格、页面或库存造成；在确认数据和交易流程正常前，不应直接建议降价或改版。</w:t>
            </w:r>
          </w:p>
        </w:tc>
      </w:tr>
    </w:tbl>
    <w:p>
      <w:pPr>
        <w:pStyle w:val="RecommendationHeading"/>
        <w:spacing w:before="200"/>
      </w:pPr>
      <w:r>
        <w:t>建议二：调查搜索来源与落地页面匹配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7A5D00"/>
          <w:sz w:val="20"/>
        </w:rPr>
        <w:t>优先级：P1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对应发现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google / organic 和 google / cpc 流量规模较大，但整体购买率分别约为 1.06% 和 0.95%，低于总体 1.29%。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建议动作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按搜索关键词、广告组、落地页面和商品类别继续拆解，检查用户搜索意图、广告内容与实际落地内容是否一致；优先排查高流量但浏览→结账率偏低的入口。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为什么优先做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这两类来源贡献了较大流量。即使转化率只改善少量，也可能影响较多会话；但在缺少成本数据时，当前目标应是先定位流量与内容匹配问题。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还需要什么数据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当前会话来源、搜索关键词、广告组、落地页面、点击成本、广告支出、用户搜索词、页面停留与跳出信息。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如何验证结果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优化关键词或落地页面后，比较访问→浏览率、浏览→结账率和整体购买率；条件允许时采用用户级或会话级随机实验验证。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注意事项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traffic_source 描述的是用户首次获客来源，不一定等于本次会话来源；当前没有广告成本，不能计算 ROI，也不能直接建议削减 CPC 预算。</w:t>
            </w:r>
          </w:p>
        </w:tc>
      </w:tr>
    </w:tbl>
    <w:p>
      <w:pPr>
        <w:pStyle w:val="RecommendationHeading"/>
        <w:spacing w:before="200"/>
      </w:pPr>
      <w:r>
        <w:t>建议三：测试增加高转化、低曝光商品的展示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7A5D00"/>
          <w:sz w:val="20"/>
        </w:rPr>
        <w:t>优先级：P1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994"/>
      </w:tblGrid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对应发现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共有 88 个低浏览、高转化商品。例如 Google Camp Mug Ivory 的严格浏览到购买率为 3.76%，显著高于整体商品基准 0.83%，但浏览规模相对较低。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建议动作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选择 3–5 个购买样本和严格路径覆盖率较可靠的候选商品，在首页或推荐模块中提高展示位置；保持价格、库存和页面内容不变，单独验证曝光位置的影响。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为什么优先做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这些商品已经表现出较好的转化能力，但当前获得的有效浏览量有限，可能存在未被充分利用的曝光机会。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还需要什么数据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商品曝光次数、点击率、推荐位置、库存、利润率、用户分群、推荐算法结果和其他商品的替代关系。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如何验证结果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开展用户级 A/B 实验，对比实验组和对照组的整体购买率、每会话收入、候选商品购买率及其他商品购买率。</w:t>
            </w:r>
          </w:p>
        </w:tc>
      </w:tr>
      <w:tr>
        <w:tc>
          <w:tcPr>
            <w:tcW w:type="dxa" w:w="4989"/>
            <w:shd w:fill="EAF1F5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/>
                <w:color w:val="17324D"/>
                <w:sz w:val="19"/>
              </w:rPr>
              <w:t>注意事项</w:t>
            </w:r>
          </w:p>
        </w:tc>
        <w:tc>
          <w:tcPr>
            <w:tcW w:type="dxa" w:w="4989"/>
            <w:vAlign w:val="center"/>
            <w:tcBorders>
              <w:top w:val="single" w:sz="4" w:color="C9D5DC"/>
              <w:left w:val="single" w:sz="4" w:color="C9D5DC"/>
              <w:bottom w:val="single" w:sz="4" w:color="C9D5DC"/>
              <w:right w:val="single" w:sz="4" w:color="C9D5DC"/>
            </w:tcBorders>
          </w:tcPr>
          <w:p>
            <w:pPr>
              <w:spacing w:after="0" w:line="276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高转化可能来自特定用户群体或样本结构；增加曝光可能只是转移其他商品销量，而非提高整体销量，因此必须监控替代效应。</w:t>
            </w:r>
          </w:p>
        </w:tc>
      </w:tr>
    </w:tbl>
    <w:p>
      <w:pPr>
        <w:pStyle w:val="SectionHeading"/>
        <w:spacing w:before="240"/>
      </w:pPr>
      <w:r>
        <w:t>二、建议执行顺序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326"/>
            <w:shd w:fill="FDE8E7"/>
            <w:tcBorders>
              <w:top w:val="single" w:sz="6" w:color="C9D5DC"/>
              <w:left w:val="single" w:sz="6" w:color="C9D5DC"/>
              <w:bottom w:val="single" w:sz="6" w:color="C9D5DC"/>
              <w:right w:val="single" w:sz="6" w:color="C9D5DC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B42318"/>
                <w:sz w:val="22"/>
              </w:rPr>
              <w:t>1 先排错</w:t>
            </w:r>
          </w:p>
          <w:p>
            <w:pPr>
              <w:spacing w:before="80" w:after="0"/>
              <w:jc w:val="center"/>
            </w:pPr>
            <w:r>
              <w:rPr>
                <w:rFonts w:ascii="Noto Sans CJK SC" w:hAnsi="Noto Sans CJK SC" w:eastAsia="Noto Sans CJK SC"/>
                <w:color w:val="334155"/>
                <w:sz w:val="18"/>
              </w:rPr>
              <w:t>核查商品数据映射、库存状态和购买流程是否正常。</w:t>
            </w:r>
          </w:p>
        </w:tc>
        <w:tc>
          <w:tcPr>
            <w:tcW w:type="dxa" w:w="3326"/>
            <w:shd w:fill="FFF2CC"/>
            <w:tcBorders>
              <w:top w:val="single" w:sz="6" w:color="C9D5DC"/>
              <w:left w:val="single" w:sz="6" w:color="C9D5DC"/>
              <w:bottom w:val="single" w:sz="6" w:color="C9D5DC"/>
              <w:right w:val="single" w:sz="6" w:color="C9D5DC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7A5D00"/>
                <w:sz w:val="22"/>
              </w:rPr>
              <w:t>2 再定位原因</w:t>
            </w:r>
          </w:p>
          <w:p>
            <w:pPr>
              <w:spacing w:before="80" w:after="0"/>
              <w:jc w:val="center"/>
            </w:pPr>
            <w:r>
              <w:rPr>
                <w:rFonts w:ascii="Noto Sans CJK SC" w:hAnsi="Noto Sans CJK SC" w:eastAsia="Noto Sans CJK SC"/>
                <w:color w:val="334155"/>
                <w:sz w:val="18"/>
              </w:rPr>
              <w:t>调查搜索来源、关键词和落地页面的匹配问题。</w:t>
            </w:r>
          </w:p>
        </w:tc>
        <w:tc>
          <w:tcPr>
            <w:tcW w:type="dxa" w:w="3326"/>
            <w:shd w:fill="E5F3EC"/>
            <w:tcBorders>
              <w:top w:val="single" w:sz="6" w:color="C9D5DC"/>
              <w:left w:val="single" w:sz="6" w:color="C9D5DC"/>
              <w:bottom w:val="single" w:sz="6" w:color="C9D5DC"/>
              <w:right w:val="single" w:sz="6" w:color="C9D5DC"/>
            </w:tcBorders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66534"/>
                <w:sz w:val="22"/>
              </w:rPr>
              <w:t>3 最后做实验</w:t>
            </w:r>
          </w:p>
          <w:p>
            <w:pPr>
              <w:spacing w:before="80" w:after="0"/>
              <w:jc w:val="center"/>
            </w:pPr>
            <w:r>
              <w:rPr>
                <w:rFonts w:ascii="Noto Sans CJK SC" w:hAnsi="Noto Sans CJK SC" w:eastAsia="Noto Sans CJK SC"/>
                <w:color w:val="334155"/>
                <w:sz w:val="18"/>
              </w:rPr>
              <w:t>对高转化、低曝光商品开展推荐位置 A/B 实验。</w:t>
            </w:r>
          </w:p>
        </w:tc>
      </w:tr>
    </w:tbl>
    <w:p>
      <w:pPr>
        <w:pStyle w:val="SectionHeading"/>
        <w:spacing w:before="240"/>
      </w:pPr>
      <w:r>
        <w:t>三、提交前检查</w:t>
      </w:r>
    </w:p>
    <w:p>
      <w:pPr>
        <w:ind w:left="227" w:hanging="113"/>
      </w:pPr>
      <w:r>
        <w:rPr>
          <w:rFonts w:ascii="Noto Sans CJK SC" w:hAnsi="Noto Sans CJK SC" w:eastAsia="Noto Sans CJK SC"/>
          <w:sz w:val="19"/>
        </w:rPr>
        <w:t>□ 每一条建议均能对应到 33_core_findings 中的明确发现。</w:t>
      </w:r>
    </w:p>
    <w:p>
      <w:pPr>
        <w:ind w:left="227" w:hanging="113"/>
      </w:pPr>
      <w:r>
        <w:rPr>
          <w:rFonts w:ascii="Noto Sans CJK SC" w:hAnsi="Noto Sans CJK SC" w:eastAsia="Noto Sans CJK SC"/>
          <w:sz w:val="19"/>
        </w:rPr>
        <w:t>□ 每一条建议都包含具体动作、所需数据和验证指标。</w:t>
      </w:r>
    </w:p>
    <w:p>
      <w:pPr>
        <w:ind w:left="227" w:hanging="113"/>
      </w:pPr>
      <w:r>
        <w:rPr>
          <w:rFonts w:ascii="Noto Sans CJK SC" w:hAnsi="Noto Sans CJK SC" w:eastAsia="Noto Sans CJK SC"/>
          <w:sz w:val="19"/>
        </w:rPr>
        <w:t>□ 建议按照“先排错—再定位—后实验”的顺序执行。</w:t>
      </w:r>
    </w:p>
    <w:p>
      <w:pPr>
        <w:ind w:left="227" w:hanging="113"/>
      </w:pPr>
      <w:r>
        <w:rPr>
          <w:rFonts w:ascii="Noto Sans CJK SC" w:hAnsi="Noto Sans CJK SC" w:eastAsia="Noto Sans CJK SC"/>
          <w:sz w:val="19"/>
        </w:rPr>
        <w:t>□ 没有把描述性关联写成已证明的因果关系。</w:t>
      </w:r>
    </w:p>
    <w:p>
      <w:pPr>
        <w:ind w:left="227" w:hanging="113"/>
      </w:pPr>
      <w:r>
        <w:rPr>
          <w:rFonts w:ascii="Noto Sans CJK SC" w:hAnsi="Noto Sans CJK SC" w:eastAsia="Noto Sans CJK SC"/>
          <w:sz w:val="19"/>
        </w:rPr>
        <w:t>□ 没有在缺少广告成本时计算或判断渠道 ROI。</w:t>
      </w:r>
    </w:p>
    <w:p>
      <w:pPr>
        <w:pStyle w:val="SmallNote"/>
        <w:spacing w:before="160"/>
      </w:pPr>
      <w:r>
        <w:t>说明：本表用于把分析结论转化为业务行动。建议实施前仍需结合库存、商品状态、当前会话归因、广告成本和实验样本量等内部数据进行复核。</w:t>
      </w:r>
    </w:p>
    <w:sectPr w:rsidR="00FC693F" w:rsidRPr="0006063C" w:rsidSect="00034616">
      <w:footerReference w:type="default" r:id="rId9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rPr>
      <w:rFonts w:ascii="Noto Sans CJK SC" w:hAnsi="Noto Sans CJK SC" w:eastAsia="Noto Sans CJK SC"/>
      <w:b/>
      <w:color w:val="17324D"/>
      <w:sz w:val="44"/>
    </w:rPr>
  </w:style>
  <w:style w:type="paragraph" w:customStyle="1" w:styleId="CustomSubtitle">
    <w:name w:val="Custom Subtitle"/>
    <w:rPr>
      <w:rFonts w:ascii="Noto Sans CJK SC" w:hAnsi="Noto Sans CJK SC" w:eastAsia="Noto Sans CJK SC"/>
      <w:b w:val="0"/>
      <w:color w:val="64748B"/>
      <w:sz w:val="20"/>
    </w:rPr>
  </w:style>
  <w:style w:type="paragraph" w:customStyle="1" w:styleId="SectionHeading">
    <w:name w:val="Section Heading"/>
    <w:rPr>
      <w:rFonts w:ascii="Noto Sans CJK SC" w:hAnsi="Noto Sans CJK SC" w:eastAsia="Noto Sans CJK SC"/>
      <w:b/>
      <w:color w:val="17324D"/>
      <w:sz w:val="30"/>
    </w:rPr>
  </w:style>
  <w:style w:type="paragraph" w:customStyle="1" w:styleId="RecommendationHeading">
    <w:name w:val="Recommendation Heading"/>
    <w:rPr>
      <w:rFonts w:ascii="Noto Sans CJK SC" w:hAnsi="Noto Sans CJK SC" w:eastAsia="Noto Sans CJK SC"/>
      <w:b/>
      <w:color w:val="0F766E"/>
      <w:sz w:val="26"/>
    </w:rPr>
  </w:style>
  <w:style w:type="paragraph" w:customStyle="1" w:styleId="SmallNote">
    <w:name w:val="Small Note"/>
    <w:rPr>
      <w:rFonts w:ascii="Noto Sans CJK SC" w:hAnsi="Noto Sans CJK SC" w:eastAsia="Noto Sans CJK SC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