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40" w:line="259" w:lineRule="auto"/>
        <w:jc w:val="center"/>
      </w:pPr>
      <w:r>
        <w:t>35_ab_test_plan</w:t>
      </w:r>
    </w:p>
    <w:p>
      <w:pPr>
        <w:spacing w:line="259" w:lineRule="auto" w:before="0" w:after="40"/>
        <w:jc w:val="center"/>
      </w:pPr>
      <w:r>
        <w:rPr>
          <w:b/>
          <w:color w:val="404040"/>
          <w:sz w:val="28"/>
        </w:rPr>
        <w:t>高转化低曝光商品推荐位 A/B 实验方案（设计稿）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FF2CC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1F4E79"/>
                <w:sz w:val="18"/>
              </w:rPr>
              <w:t>项目性质：本实验为求职项目中的“实验设计方案”，未在真实线上环境执行。简历和面试中应使用 designed / proposed，而不是 conducted。</w:t>
            </w:r>
          </w:p>
        </w:tc>
      </w:tr>
    </w:tbl>
    <w:p>
      <w:pPr>
        <w:spacing w:after="40" w:line="259" w:lineRule="auto" w:before="0"/>
      </w:pPr>
    </w:p>
    <w:p>
      <w:pPr>
        <w:pStyle w:val="Heading1"/>
        <w:spacing w:before="100" w:after="40"/>
      </w:pPr>
      <w:r>
        <w:t>一、实验背景与业务问题</w:t>
      </w:r>
    </w:p>
    <w:p>
      <w:pPr>
        <w:spacing w:after="40" w:line="259" w:lineRule="auto" w:before="0"/>
      </w:pPr>
      <w:r>
        <w:t>前期 GA4 电商数据分析发现，部分商品具有“浏览规模相对较低，但严格浏览→购买转化率明显高于整体商品基准”的特征。</w:t>
      </w:r>
    </w:p>
    <w:p>
      <w:pPr>
        <w:pStyle w:val="ListBullet"/>
        <w:spacing w:after="20" w:line="252" w:lineRule="auto" w:before="0"/>
        <w:ind w:left="317" w:hanging="173"/>
      </w:pPr>
      <w:r>
        <w:rPr>
          <w:rFonts w:ascii="Arial" w:hAnsi="Arial" w:eastAsia="Microsoft YaHei"/>
        </w:rPr>
        <w:t>整体严格浏览→购买率基准约为 0.83%。</w:t>
      </w:r>
    </w:p>
    <w:p>
      <w:pPr>
        <w:pStyle w:val="ListBullet"/>
        <w:spacing w:after="20" w:line="252" w:lineRule="auto" w:before="0"/>
        <w:ind w:left="317" w:hanging="173"/>
      </w:pPr>
      <w:r>
        <w:rPr>
          <w:rFonts w:ascii="Arial" w:hAnsi="Arial" w:eastAsia="Microsoft YaHei"/>
        </w:rPr>
        <w:t>候选商品包括 Google Camp Mug Ivory、Google Canteen Bottle Black、Google Camp Mug Gray、Google Light Pen Blue 等。</w:t>
      </w:r>
    </w:p>
    <w:p>
      <w:pPr>
        <w:pStyle w:val="ListBullet"/>
        <w:spacing w:after="20" w:line="252" w:lineRule="auto" w:before="0"/>
        <w:ind w:left="317" w:hanging="173"/>
      </w:pPr>
      <w:r>
        <w:rPr>
          <w:rFonts w:ascii="Arial" w:hAnsi="Arial" w:eastAsia="Microsoft YaHei"/>
        </w:rPr>
        <w:t>这些商品表现出较高转化效率，但现有浏览规模相对有限，因此存在“增加有效曝光是否能提升整体购买表现”的待验证机会。</w:t>
      </w:r>
    </w:p>
    <w:p>
      <w:pPr>
        <w:spacing w:line="259" w:lineRule="auto" w:before="0" w:after="40"/>
      </w:pPr>
      <w:r>
        <w:rPr>
          <w:b/>
        </w:rPr>
        <w:t>核心业务问题：</w:t>
      </w:r>
      <w:r>
        <w:t xml:space="preserve"> 将高转化、低曝光商品提升到首页或推荐模块的更高位置，是否能够提高网站整体用户购买率，而不是仅仅把销量从其他商品转移过来？</w:t>
      </w:r>
    </w:p>
    <w:p>
      <w:pPr>
        <w:pStyle w:val="Heading1"/>
        <w:spacing w:before="100" w:after="40"/>
      </w:pPr>
      <w:r>
        <w:t>二、实验目标与假设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实验目标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验证提高候选商品推荐位置是否能提升网站整体购买表现。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原假设 H0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提高候选商品推荐位置不会改变用户整体购买率。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备择假设 H1</w:t>
            </w:r>
          </w:p>
        </w:tc>
        <w:tc>
          <w:tcPr>
            <w:tcW w:type="dxa" w:w="83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提高候选商品推荐位置会提高用户整体购买率。</w:t>
            </w:r>
          </w:p>
        </w:tc>
      </w:tr>
    </w:tbl>
    <w:p>
      <w:pPr>
        <w:pStyle w:val="Heading1"/>
        <w:spacing w:before="100" w:after="40"/>
      </w:pPr>
      <w:r>
        <w:t>三、实验对象与分组设计</w:t>
      </w:r>
    </w:p>
    <w:p>
      <w:pPr>
        <w:pStyle w:val="ListBullet"/>
        <w:spacing w:after="20" w:line="252" w:lineRule="auto" w:before="0"/>
        <w:ind w:left="317" w:hanging="173"/>
      </w:pPr>
      <w:r>
        <w:rPr>
          <w:rFonts w:ascii="Arial" w:hAnsi="Arial" w:eastAsia="Microsoft YaHei"/>
        </w:rPr>
        <w:t>实验前从“低浏览 + 高转化”商品中选择 3–5 个候选商品。</w:t>
      </w:r>
    </w:p>
    <w:p>
      <w:pPr>
        <w:pStyle w:val="ListBullet"/>
        <w:spacing w:after="20" w:line="252" w:lineRule="auto" w:before="0"/>
        <w:ind w:left="317" w:hanging="173"/>
      </w:pPr>
      <w:r>
        <w:rPr>
          <w:rFonts w:ascii="Arial" w:hAnsi="Arial" w:eastAsia="Microsoft YaHei"/>
        </w:rPr>
        <w:t>候选商品必须满足：严格转化率高于整体基准、购买样本量不过小、严格路径覆盖率可接受、商品库存和状态正常。</w:t>
      </w:r>
    </w:p>
    <w:p>
      <w:pPr>
        <w:pStyle w:val="ListBullet"/>
        <w:spacing w:after="20" w:line="252" w:lineRule="auto" w:before="0"/>
        <w:ind w:left="317" w:hanging="173"/>
      </w:pPr>
      <w:r>
        <w:rPr>
          <w:rFonts w:ascii="Arial" w:hAnsi="Arial" w:eastAsia="Microsoft YaHei"/>
        </w:rPr>
        <w:t>正式上线前先排除缺货、下架、SKU 映射异常和埋点异常。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分组</w:t>
            </w:r>
          </w:p>
        </w:tc>
        <w:tc>
          <w:tcPr>
            <w:tcW w:type="dxa" w:w="47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用户看到的内容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对照组</w:t>
            </w:r>
          </w:p>
        </w:tc>
        <w:tc>
          <w:tcPr>
            <w:tcW w:type="dxa" w:w="47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保持当前商品推荐顺序。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不改变页面布局、价格、促销和结账流程。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实验组</w:t>
            </w:r>
          </w:p>
        </w:tc>
        <w:tc>
          <w:tcPr>
            <w:tcW w:type="dxa" w:w="47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提高候选商品在首页/推荐模块中的展示位置。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除推荐排序外，其余条件尽量与对照组一致。</w:t>
            </w:r>
          </w:p>
        </w:tc>
      </w:tr>
    </w:tbl>
    <w:p>
      <w:pPr>
        <w:pStyle w:val="Heading1"/>
        <w:pageBreakBefore/>
        <w:spacing w:before="100" w:after="40"/>
      </w:pPr>
      <w:r>
        <w:t>四、随机化与实验单位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设计项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方案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随机分流单位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用户级（user_pseudo_id）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分流方式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例如 50% 对照组 / 50% 实验组；实际比例按流量和风险确定。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一致性要求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同一用户在整个实验期间固定进入同一组，避免跨组污染。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为什么不用会话随机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同一用户可能多次访问；若按会话随机，用户可能看到两个版本，影响因果解释。</w:t>
            </w:r>
          </w:p>
        </w:tc>
      </w:tr>
    </w:tbl>
    <w:p>
      <w:pPr>
        <w:pStyle w:val="Heading1"/>
        <w:spacing w:before="100" w:after="40"/>
      </w:pPr>
      <w:r>
        <w:t>五、指标体系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定义/用途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为什么要看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核心指标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用户购买率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发生购买的实验用户数 ÷ 实验用户数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与用户级随机分流单位一致，直接衡量整体购买改善。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辅助指标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候选商品点击率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候选商品点击用户数 ÷ 候选商品曝光用户数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确认推荐位置提升是否真正增加用户关注。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辅助指标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候选商品浏览率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浏览候选商品用户数 ÷ 实验用户数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判断曝光是否转化为商品详情浏览。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辅助指标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浏览→结账率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候选商品进入结账用户数 ÷ 浏览候选商品用户数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观察购买意愿是否增强。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辅助指标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每用户收入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实验期间已记录收入 ÷ 实验用户数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防止购买率提升但商业价值没有提升。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护栏指标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其他商品购买率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购买非候选商品用户数 ÷ 实验用户数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判断是否发生“抢走其他商品销量”的替代效应。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护栏指标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客单价 / 退款率 / 跳出率 / 页面性能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监控整体商业价值和用户体验</w:t>
            </w:r>
          </w:p>
        </w:tc>
        <w:tc>
          <w:tcPr>
            <w:tcW w:type="dxa" w:w="38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防止局部指标变好但整体业务受损。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1F4E79"/>
                <w:sz w:val="18"/>
              </w:rPr>
              <w:t>主判断必须基于“整体用户购买率”，不能只看候选商品销量。否则可能出现候选商品卖得更多，但只是替代了用户原本要买的其他商品。</w:t>
            </w:r>
          </w:p>
        </w:tc>
      </w:tr>
    </w:tbl>
    <w:p>
      <w:pPr>
        <w:spacing w:after="40" w:line="259" w:lineRule="auto" w:before="0"/>
      </w:pPr>
    </w:p>
    <w:p>
      <w:pPr>
        <w:pStyle w:val="Heading1"/>
        <w:spacing w:before="100" w:after="40"/>
      </w:pPr>
      <w:r>
        <w:t>六、上线前与实验中质量检查</w:t>
      </w:r>
    </w:p>
    <w:p>
      <w:pPr>
        <w:pStyle w:val="ListBullet"/>
        <w:spacing w:after="20" w:line="252" w:lineRule="auto" w:before="0"/>
        <w:ind w:left="317" w:hanging="173"/>
      </w:pPr>
      <w:r>
        <w:rPr>
          <w:rFonts w:ascii="Arial" w:hAnsi="Arial" w:eastAsia="Microsoft YaHei"/>
        </w:rPr>
        <w:t>Sample Ratio / 分流检查：实验组与对照组样本比例是否符合预设。</w:t>
      </w:r>
    </w:p>
    <w:p>
      <w:pPr>
        <w:pStyle w:val="ListBullet"/>
        <w:spacing w:after="20" w:line="252" w:lineRule="auto" w:before="0"/>
        <w:ind w:left="317" w:hanging="173"/>
      </w:pPr>
      <w:r>
        <w:rPr>
          <w:rFonts w:ascii="Arial" w:hAnsi="Arial" w:eastAsia="Microsoft YaHei"/>
        </w:rPr>
        <w:t>互斥性检查：同一 user_pseudo_id 是否只进入一个实验组。</w:t>
      </w:r>
    </w:p>
    <w:p>
      <w:pPr>
        <w:pStyle w:val="ListBullet"/>
        <w:spacing w:after="20" w:line="252" w:lineRule="auto" w:before="0"/>
        <w:ind w:left="317" w:hanging="173"/>
      </w:pPr>
      <w:r>
        <w:rPr>
          <w:rFonts w:ascii="Arial" w:hAnsi="Arial" w:eastAsia="Microsoft YaHei"/>
        </w:rPr>
        <w:t>实验前平衡性：历史购买率、设备、国家、首次来源等重要特征是否大致平衡。</w:t>
      </w:r>
    </w:p>
    <w:p>
      <w:pPr>
        <w:pStyle w:val="ListBullet"/>
        <w:spacing w:after="20" w:line="252" w:lineRule="auto" w:before="0"/>
        <w:ind w:left="317" w:hanging="173"/>
      </w:pPr>
      <w:r>
        <w:rPr>
          <w:rFonts w:ascii="Arial" w:hAnsi="Arial" w:eastAsia="Microsoft YaHei"/>
        </w:rPr>
        <w:t>埋点检查：曝光、点击、浏览、购买事件是否正常上报。</w:t>
      </w:r>
    </w:p>
    <w:p>
      <w:pPr>
        <w:pStyle w:val="ListBullet"/>
        <w:spacing w:after="20" w:line="252" w:lineRule="auto" w:before="0"/>
        <w:ind w:left="317" w:hanging="173"/>
      </w:pPr>
      <w:r>
        <w:rPr>
          <w:rFonts w:ascii="Arial" w:hAnsi="Arial" w:eastAsia="Microsoft YaHei"/>
        </w:rPr>
        <w:t>实验污染检查：推荐排序之外是否存在同时上线的页面、价格或促销改动。</w:t>
      </w:r>
    </w:p>
    <w:p>
      <w:pPr>
        <w:pStyle w:val="ListBullet"/>
        <w:spacing w:after="20" w:line="252" w:lineRule="auto" w:before="0"/>
        <w:ind w:left="317" w:hanging="173"/>
      </w:pPr>
      <w:r>
        <w:rPr>
          <w:rFonts w:ascii="Arial" w:hAnsi="Arial" w:eastAsia="Microsoft YaHei"/>
        </w:rPr>
        <w:t>库存检查：候选商品实验期间是否出现缺货、下架或异常库存。</w:t>
      </w:r>
    </w:p>
    <w:p>
      <w:pPr>
        <w:pStyle w:val="Heading1"/>
        <w:pageBreakBefore/>
        <w:spacing w:before="100" w:after="40"/>
      </w:pPr>
      <w:r>
        <w:t>七、统计设计（本个人项目中的可模拟部分）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2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设置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基准购买率</w:t>
            </w:r>
          </w:p>
        </w:tc>
        <w:tc>
          <w:tcPr>
            <w:tcW w:type="dxa" w:w="82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可参考历史严格整体购买率约 1.29%；真实线上实验应使用与核心指标一致的用户级历史基准重新计算。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显著性水平 α</w:t>
            </w:r>
          </w:p>
        </w:tc>
        <w:tc>
          <w:tcPr>
            <w:tcW w:type="dxa" w:w="82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0.05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统计功效 Power</w:t>
            </w:r>
          </w:p>
        </w:tc>
        <w:tc>
          <w:tcPr>
            <w:tcW w:type="dxa" w:w="82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80%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MDE</w:t>
            </w:r>
          </w:p>
        </w:tc>
        <w:tc>
          <w:tcPr>
            <w:tcW w:type="dxa" w:w="82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待结合业务可接受的最小提升确定，不应拍脑袋设定。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样本量</w:t>
            </w:r>
          </w:p>
        </w:tc>
        <w:tc>
          <w:tcPr>
            <w:tcW w:type="dxa" w:w="82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根据基准率、MDE、α 和 Power 在实验前计算。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实验周期</w:t>
            </w:r>
          </w:p>
        </w:tc>
        <w:tc>
          <w:tcPr>
            <w:tcW w:type="dxa" w:w="820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至少覆盖一个完整业务周期，并达到预先计算的样本量；避免因为“跑满 7 天”就机械停实验。</w:t>
            </w:r>
          </w:p>
        </w:tc>
      </w:tr>
    </w:tbl>
    <w:p>
      <w:pPr>
        <w:spacing w:line="259" w:lineRule="auto" w:before="0" w:after="40"/>
      </w:pPr>
      <w:r>
        <w:rPr>
          <w:b/>
        </w:rPr>
        <w:t>个人项目说明：</w:t>
      </w:r>
      <w:r>
        <w:t xml:space="preserve"> 由于无法实际控制 Google Merchandise Store 的产品流量，本项目只完成实验设计、指标定义、MDE/样本量计算练习和结果判定规则，不伪造实验组/对照组数据，也不声称实验已经执行。</w:t>
      </w:r>
    </w:p>
    <w:p>
      <w:pPr>
        <w:pStyle w:val="Heading1"/>
        <w:spacing w:before="100" w:after="40"/>
      </w:pPr>
      <w:r>
        <w:t>八、实验结果判定规则</w:t>
      </w:r>
    </w:p>
    <w:p>
      <w:pPr>
        <w:pStyle w:val="ListBullet"/>
        <w:spacing w:after="20" w:line="252" w:lineRule="auto" w:before="0"/>
        <w:ind w:left="317" w:hanging="173"/>
      </w:pPr>
      <w:r>
        <w:rPr>
          <w:rFonts w:ascii="Arial" w:hAnsi="Arial" w:eastAsia="Microsoft YaHei"/>
        </w:rPr>
        <w:t>核心指标方向为正，并结合置信区间和 p-value 判断统计证据。</w:t>
      </w:r>
    </w:p>
    <w:p>
      <w:pPr>
        <w:pStyle w:val="ListBullet"/>
        <w:spacing w:after="20" w:line="252" w:lineRule="auto" w:before="0"/>
        <w:ind w:left="317" w:hanging="173"/>
      </w:pPr>
      <w:r>
        <w:rPr>
          <w:rFonts w:ascii="Arial" w:hAnsi="Arial" w:eastAsia="Microsoft YaHei"/>
        </w:rPr>
        <w:t>实际提升幅度达到业务可接受水平，而不仅是“p &lt; 0.05”。</w:t>
      </w:r>
    </w:p>
    <w:p>
      <w:pPr>
        <w:pStyle w:val="ListBullet"/>
        <w:spacing w:after="20" w:line="252" w:lineRule="auto" w:before="0"/>
        <w:ind w:left="317" w:hanging="173"/>
      </w:pPr>
      <w:r>
        <w:rPr>
          <w:rFonts w:ascii="Arial" w:hAnsi="Arial" w:eastAsia="Microsoft YaHei"/>
        </w:rPr>
        <w:t>其他商品购买率没有明显下降，避免只是发生商品间销量替代。</w:t>
      </w:r>
    </w:p>
    <w:p>
      <w:pPr>
        <w:pStyle w:val="ListBullet"/>
        <w:spacing w:after="20" w:line="252" w:lineRule="auto" w:before="0"/>
        <w:ind w:left="317" w:hanging="173"/>
      </w:pPr>
      <w:r>
        <w:rPr>
          <w:rFonts w:ascii="Arial" w:hAnsi="Arial" w:eastAsia="Microsoft YaHei"/>
        </w:rPr>
        <w:t>每用户收入、客单价等商业指标没有明显恶化。</w:t>
      </w:r>
    </w:p>
    <w:p>
      <w:pPr>
        <w:pStyle w:val="ListBullet"/>
        <w:spacing w:after="20" w:line="252" w:lineRule="auto" w:before="0"/>
        <w:ind w:left="317" w:hanging="173"/>
      </w:pPr>
      <w:r>
        <w:rPr>
          <w:rFonts w:ascii="Arial" w:hAnsi="Arial" w:eastAsia="Microsoft YaHei"/>
        </w:rPr>
        <w:t>退款率、跳出率、页面性能等护栏指标没有明显恶化。</w:t>
      </w:r>
    </w:p>
    <w:p>
      <w:pPr>
        <w:pStyle w:val="ListBullet"/>
        <w:spacing w:after="20" w:line="252" w:lineRule="auto" w:before="0"/>
        <w:ind w:left="317" w:hanging="173"/>
      </w:pPr>
      <w:r>
        <w:rPr>
          <w:rFonts w:ascii="Arial" w:hAnsi="Arial" w:eastAsia="Microsoft YaHei"/>
        </w:rPr>
        <w:t>若总体不显著，先检查样本量、MDE、指标噪声、分流和实验周期，再决定继续、停止或重新设计。</w:t>
      </w:r>
    </w:p>
    <w:p>
      <w:pPr>
        <w:pStyle w:val="Heading1"/>
        <w:spacing w:before="100" w:after="40"/>
      </w:pPr>
      <w:r>
        <w:t>九、主要风险与解释边界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b/>
                <w:color w:val="FFFFFF"/>
                <w:sz w:val="18"/>
              </w:rPr>
              <w:t>处理方式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销量替代效应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候选商品销量上升可能来自其他商品销量下降，因此必须看整体购买率和其他商品购买率。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选择偏差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历史“高转化”商品可能只是更适合特定用户；线上随机实验用来验证是否具有真实增量。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库存/商品状态变化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实验期间缺货或下架会干扰结果，需要持续监控。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新鲜感效应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推荐位置变化可能短期吸引注意，实验周期需覆盖足够时间。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多重指标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Microsoft YaHei"/>
                <w:sz w:val="18"/>
              </w:rPr>
              <w:t>提前明确一个核心指标，辅助与护栏指标用于解释和安全监控，避免事后挑显著结果。</w:t>
            </w:r>
          </w:p>
        </w:tc>
      </w:tr>
    </w:tbl>
    <w:p>
      <w:pPr>
        <w:pStyle w:val="Heading1"/>
        <w:spacing w:before="100" w:after="40"/>
      </w:pPr>
      <w:r>
        <w:t>十、项目中应该如何表述这部分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EAF2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 w:before="0" w:line="240" w:lineRule="auto"/>
            </w:pPr>
            <w:r>
              <w:rPr>
                <w:b/>
                <w:color w:val="1F4E79"/>
                <w:sz w:val="18"/>
              </w:rPr>
              <w:t>正确表述：Designed / Proposed an A/B test to evaluate whether increasing exposure for high-conversion, low-traffic products could improve overall purchase rate.</w:t>
            </w:r>
          </w:p>
        </w:tc>
      </w:tr>
    </w:tbl>
    <w:p>
      <w:pPr>
        <w:spacing w:after="40" w:line="259" w:lineRule="auto" w:before="0"/>
      </w:pPr>
    </w:p>
    <w:p>
      <w:pPr>
        <w:spacing w:line="259" w:lineRule="auto" w:before="0" w:after="40"/>
      </w:pPr>
      <w:r>
        <w:rPr>
          <w:b/>
          <w:color w:val="C00000"/>
        </w:rPr>
        <w:t>不要写：</w:t>
      </w:r>
      <w:r>
        <w:t xml:space="preserve"> Conducted an A/B test / 实施了 A/B 实验并证明策略有效。</w:t>
      </w:r>
    </w:p>
    <w:p>
      <w:pPr>
        <w:pStyle w:val="Heading1"/>
        <w:spacing w:before="40" w:after="40"/>
      </w:pPr>
      <w:r>
        <w:t>十一、实验方案一句话总结</w:t>
      </w:r>
    </w:p>
    <w:p>
      <w:pPr>
        <w:spacing w:after="40" w:line="259" w:lineRule="auto" w:before="0"/>
      </w:pPr>
      <w:r>
        <w:t>针对历史数据中识别出的“低浏览、高转化”商品，设计用户级随机 A/B 实验：对照组保持原推荐顺序，实验组提升候选商品推荐位置，以用户购买率为核心指标，同时监控其他商品购买率、每用户收入和体验类护栏指标，判断增加曝光是否带来真实的整体增量，而非商品间销量替代。</w:t>
      </w:r>
    </w:p>
    <w:sectPr w:rsidR="00FC693F" w:rsidRPr="0006063C" w:rsidSect="00034616">
      <w:footerReference w:type="default" r:id="rId9"/>
      <w:pgSz w:w="12240" w:h="15840"/>
      <w:pgMar w:top="792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5"/>
      </w:rPr>
      <w:t>GA4 电商转化漏斗与增长诊断项目｜35_ab_test_plan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