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w:t>
      </w:r>
    </w:p>
    <w:p>
      <w:pPr>
        <w:spacing w:after="120"/>
        <w:jc w:val="center"/>
      </w:pPr>
      <w:r>
        <w:rPr>
          <w:rFonts w:ascii="Arial" w:cs="Arial" w:eastAsia="Arial" w:hAnsi="Arial"/>
          <w:b/>
          <w:bCs/>
          <w:sz w:val="34"/>
          <w:szCs w:val="34"/>
        </w:rPr>
        <w:t xml:space="preserve">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 objectives, their conditions and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300"/>
        <w:gridCol w:w="3000"/>
        <w:gridCol w:w="31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1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1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an object position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50"/>
        <w:gridCol w:w="3350"/>
        <w:gridCol w:w="3626"/>
      </w:tblGrid>
      <w:tr>
        <w:trPr>
          <w:cantSplit/>
          <w:tblHeader/>
        </w:trPr>
        <w:tc>
          <w:tcPr>
            <w:tcW w:type="dxa" w:w="20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3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on five fixed crosses and success rules</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20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3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50"/>
        <w:gridCol w:w="3350"/>
        <w:gridCol w:w="3626"/>
      </w:tblGrid>
      <w:tr>
        <w:trPr>
          <w:cantSplit/>
          <w:tblHeader/>
        </w:trPr>
        <w:tc>
          <w:tcPr>
            <w:tcW w:type="dxa" w:w="20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3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20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3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Objects are placed on five fixed crosses on the table, the same five for every tier, and each object keeps one fixed orientation. A layout is one way of placing the objects on the crosses. Tier 0 uses all 20 ways to place two objects on five crosses. Tiers 1 and 2 use 20 of the 60 ways to place three objects, chosen so each object stands on each cross four times. Both architectures get the same 20 layouts in the same order. B's demonstrations and A's tuning stay off the crosses, so the scored positions are never seen before scoring.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100"/>
        <w:gridCol w:w="30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21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21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 A pick moves the tool centre point (TCP) through three poses: an approach pose 12 cm above the pick position, a grasp pose at the object and a retreat pose above it. A place uses the same three poses over the place position. Three observations narrowed the search, and they pointed to two causes.</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5715000" cy="1714500"/>
            <wp:effectExtent t="0" r="0" b="0" l="0"/>
            <wp:docPr id="1" name="runs_fail.png" descr="A failed pick on the real arm before the fixes, from phone video. The fingers close behind the oran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7145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A failed pick on the real arm before the fixes, from phone video. The fingers close behind the orange.</w:t>
      </w:r>
    </w:p>
    <w:p>
      <w:pPr>
        <w:spacing w:after="120" w:line="264"/>
        <w:jc w:val="both"/>
      </w:pPr>
      <w:r>
        <w:t xml:space="preserve">The first cause was a wrong depth point. The depth of the object was the average of the depth values inside the detection box. A round object does not fill its box, so the corners hold table pixels. With the camera looking down at an angle, those pixels lie farther away than the object. The average moved the pick position along the camera ray to behind the orange (Figure 5). The fix uses SAM [8] to cut a mask of the object inside the box, and the pick position now comes from the mask, so it lies on the object.</w:t>
      </w:r>
    </w:p>
    <w:p>
      <w:pPr>
        <w:keepNext/>
        <w:spacing w:after="60" w:before="120"/>
        <w:jc w:val="center"/>
      </w:pPr>
      <w:r>
        <w:drawing>
          <wp:inline distT="0" distB="0" distL="0" distR="0">
            <wp:extent cx="5715000" cy="1971675"/>
            <wp:effectExtent t="0" r="0" b="0" l="0"/>
            <wp:docPr id="1" name="depthfig.png" descr="Why the box depth put the target behind the object. (a) Along the camera line of sight, with the face of the detection box the camera sees in red. (b) The camera image: the detection box holds table pixels that the SAM mask leaves ou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716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Why the box depth put the target behind the object. (a) Along the camera line of sight, with the face of the detection box the camera sees in red. (b) The camera image: the detection box holds table pixels that the SAM mask leaves out.</w:t>
      </w:r>
    </w:p>
    <w:p>
      <w:pPr>
        <w:spacing w:after="120" w:line="264"/>
        <w:jc w:val="both"/>
      </w:pPr>
      <w:r>
        <w:t xml:space="preserve">The second cause was a bias in the camera to base transform. Section 4.5 explains how the transform is fitted. A shift that is the same at every fitting pose does not raise the fit residual, so the residual cannot reveal it. The fix is a reach test with keyboard jog, run after every calibration fit. The arm hovers 2 cm above a thin pen cross on the table, and I jog it with the keyboard until the TCP is over the cross. The TCP position is then read over RTDE, and its offset from the commanded position is the reach error.</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6). Table 7 follows the trace of the clean run, which took 31.2 s in all. The spoken instruction was </w:t>
      </w:r>
      <w:r>
        <w:rPr>
          <w:i/>
          <w:iCs/>
        </w:rPr>
        <w:t xml:space="preserve">"Pick up the orange and place it in the red tray."</w:t>
      </w:r>
      <w:r>
        <w:t xml:space="preserve"> The pick check saw the orange 43 mm from the TCP, inside the 50 mm limit, so it reported the orange held. The place check saw the orange 162 mm from the tool, so it reported the orange released. I judged both steps correct at the bench.</w:t>
      </w:r>
    </w:p>
    <w:p>
      <w:pPr>
        <w:keepNext/>
        <w:spacing w:after="60" w:before="120"/>
        <w:jc w:val="center"/>
      </w:pPr>
      <w:r>
        <w:drawing>
          <wp:inline distT="0" distB="0" distL="0" distR="0">
            <wp:extent cx="5715000" cy="1714500"/>
            <wp:effectExtent t="0" r="0" b="0" l="0"/>
            <wp:docPr id="1" name="runs_success.png" descr="The full pick and place on the real arm on 21 October 2026, from phone vide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145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The full pick and place on the real arm on 21 October 2026, from phone video.</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Four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The layouts changed on 29 October from random table coordinates to five fixed crosses. A coordinate cannot be placed by hand at the bench, and after the arm was moved on 21 October the old coordinates fell outside its reach.</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2900"/>
        <w:gridCol w:w="3826"/>
      </w:tblGrid>
      <w:tr>
        <w:trPr>
          <w:cantSplit/>
          <w:tblHeader/>
        </w:trPr>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2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2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3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9cb4f8bbc5fb3144c7fa22871d812e0e847bd1cd.png"/><Relationship Id="rId17" Type="http://schemas.openxmlformats.org/officeDocument/2006/relationships/image" Target="media/f2f13caddfcb9784b7c8b799a38c89e46d1c7de7.png"/><Relationship Id="rId18" Type="http://schemas.openxmlformats.org/officeDocument/2006/relationships/image" Target="media/f97232dd725f92c083baa752804fd37c66635d46.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2026-10-29T14:09:09.063Z</dcterms:created>
  <dcterms:modified xsi:type="dcterms:W3CDTF">2026-10-29T14:09:09.063Z</dcterms:modified>
</cp:coreProperties>
</file>

<file path=docProps/custom.xml><?xml version="1.0" encoding="utf-8"?>
<Properties xmlns="http://schemas.openxmlformats.org/officeDocument/2006/custom-properties" xmlns:vt="http://schemas.openxmlformats.org/officeDocument/2006/docPropsVTypes"/>
</file>