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w:t>
      </w:r>
    </w:p>
    <w:p>
      <w:pPr>
        <w:spacing w:after="120"/>
        <w:jc w:val="center"/>
      </w:pPr>
      <w:r>
        <w:rPr>
          <w:rFonts w:ascii="Arial" w:cs="Arial" w:eastAsia="Arial" w:hAnsi="Arial"/>
          <w:b/>
          <w:bCs/>
          <w:sz w:val="34"/>
          <w:szCs w:val="34"/>
        </w:rPr>
        <w:t xml:space="preserve">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rPr>
              <w:t xml:space="preserve">U2322880A</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rPr>
              <w:t xml:space="preserve">10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64"/>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line="264"/>
        <w:jc w:val="both"/>
      </w:pPr>
      <w:r>
        <w:t xml:space="preserve">Each family reports results on its own robot, tasks and data, so a reader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line="264"/>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line="264"/>
        <w:jc w:val="both"/>
      </w:pPr>
      <w:r>
        <w:t xml:space="preserve">Each objective has a condition that can be checked. Table 1 lists the objectives, their conditions and their status on 29 October 2026.</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300"/>
        <w:gridCol w:w="3000"/>
        <w:gridCol w:w="31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ID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Objective</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Done when</w:t>
            </w:r>
          </w:p>
        </w:tc>
        <w:tc>
          <w:tcPr>
            <w:tcW w:type="dxa" w:w="31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Status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T1</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Calibrated cell</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Camera to base transform fitted, then checked by a reach test, with the error in mm</w:t>
            </w:r>
          </w:p>
        </w:tc>
        <w:tc>
          <w:tcPr>
            <w:tcW w:type="dxa" w:w="31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21 Oct 2026. Reach error 2 to 7 mm after correction (Section 6.4)</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T2</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A on Tier 0</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70% success over 20 trials, spoken input</w:t>
            </w:r>
          </w:p>
        </w:tc>
        <w:tc>
          <w:tcPr>
            <w:tcW w:type="dxa" w:w="31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First full pick and place on 21 Oct 2026. 20-trial run planned for December 2026</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T3</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dataset</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real episodes per task that load in LeRobot</w:t>
            </w:r>
          </w:p>
        </w:tc>
        <w:tc>
          <w:tcPr>
            <w:tcW w:type="dxa" w:w="31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Recorder and exporter written. Recording starts after the exams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T4</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B on Tier 0</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success over 20 trials, behind the safety envelope</w:t>
            </w:r>
          </w:p>
        </w:tc>
        <w:tc>
          <w:tcPr>
            <w:tcW w:type="dxa" w:w="31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Robot side written. Training starts in January 2027</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T5</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Evaluation harness</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Frozen task suite, per-trial log, imports neither architecture</w:t>
            </w:r>
          </w:p>
        </w:tc>
        <w:tc>
          <w:tcPr>
            <w:tcW w:type="dxa" w:w="31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11 Aug 2026</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T6</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Comparison result</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architectures run through the harness on every attempted tier</w:t>
            </w:r>
          </w:p>
        </w:tc>
        <w:tc>
          <w:tcPr>
            <w:tcW w:type="dxa" w:w="31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Planned for February 2027</w:t>
            </w:r>
          </w:p>
        </w:tc>
      </w:tr>
    </w:tbl>
    <w:p>
      <w:pPr>
        <w:spacing w:after="240" w:before="80"/>
        <w:jc w:val="both"/>
      </w:pPr>
      <w:r>
        <w:rPr>
          <w:rFonts w:ascii="Arial" w:cs="Arial" w:eastAsia="Arial" w:hAnsi="Arial"/>
          <w:b/>
          <w:bCs/>
          <w:sz w:val="18"/>
          <w:szCs w:val="18"/>
        </w:rPr>
        <w:t xml:space="preserve">Table 1. </w:t>
      </w:r>
      <w:r>
        <w:rPr>
          <w:rFonts w:ascii="Arial" w:cs="Arial" w:eastAsia="Arial" w:hAnsi="Arial"/>
          <w:sz w:val="18"/>
          <w:szCs w:val="18"/>
        </w:rPr>
        <w:t xml:space="preserve">Technical objectives and their status.</w:t>
      </w:r>
    </w:p>
    <w:p>
      <w:pPr>
        <w:pStyle w:val="Heading2"/>
      </w:pPr>
      <w:r>
        <w:t xml:space="preserve">1.4 Scope</w:t>
      </w:r>
    </w:p>
    <w:p>
      <w:pPr>
        <w:spacing w:after="120" w:line="264"/>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line="264"/>
        <w:jc w:val="both"/>
      </w:pPr>
      <w:r>
        <w:t xml:space="preserve">This report records the work of Semester 1 and the plan for Semester 2. Architecture B is reported as a plan, because its demonstrations are recorded after the exams. Section 3 sets out how the comparison is kept fair. Section 4 explains Architecture A, and Section 5 explains Architecture B. Section 6 reports the work so far, and Section 7 gives the plan.</w:t>
      </w:r>
    </w:p>
    <w:p>
      <w:pPr>
        <w:pStyle w:val="Heading1"/>
      </w:pPr>
      <w:r>
        <w:t xml:space="preserve">2. Related Work</w:t>
      </w:r>
    </w:p>
    <w:p>
      <w:pPr>
        <w:spacing w:after="120" w:line="264"/>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It also compares its agent with a π0.5 VLA fine-tuned on 30 to 40 demonstrations, and the VLA often grasped the wrong object. That comparison is one experiment in a benchmark of agents. This project makes it the main study, with a frozen protocol, tiers for ambiguity and for mid-task change, a stage for every failure, and the cost of each side.</w:t>
      </w:r>
    </w:p>
    <w:p>
      <w:pPr>
        <w:spacing w:after="120" w:line="264"/>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as in Tier 2.</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Work</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it does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Limitation or role for this project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Shan and Cheah [1]</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GPT-4o agent with a bank of five skills on a UR5e, applied to power cable manipulation</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Claims modular flexibility beyond a VLA, but runs no VLA baseline. Closed-vocabulary detector trained on 30 images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as Policies [2]</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LLM writes programs that call perception and control functions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No training needed. The current stage of Architecture A</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KnowNo [3]</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Conformal prediction tells an LLM planner when to ask for help</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Credits prior work on asking. This project measures the cost of not asking</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AgenticLab [4]</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Closed-loop vision-language agent on a UR5e. Also beats a fine-tuned π0.5 VLA on two tasks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Closest work to the completed project. Its VLA test is a side experiment, while here the comparison is the main study</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BayesianVLA [5]</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Shows VLAs can ignore the instruction and act on the image alone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Backs the prediction for B in the ambiguous tier</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SmolVLA [6]</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Compact VLA of about 450 million parameters that outputs chunks of 50 actions</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model fine-tuned for Architecture B</w:t>
            </w:r>
          </w:p>
        </w:tc>
      </w:tr>
    </w:tbl>
    <w:p>
      <w:pPr>
        <w:spacing w:after="240" w:before="80"/>
        <w:jc w:val="both"/>
      </w:pPr>
      <w:r>
        <w:rPr>
          <w:rFonts w:ascii="Arial" w:cs="Arial" w:eastAsia="Arial" w:hAnsi="Arial"/>
          <w:b/>
          <w:bCs/>
          <w:sz w:val="18"/>
          <w:szCs w:val="18"/>
        </w:rPr>
        <w:t xml:space="preserve">Table 2. </w:t>
      </w:r>
      <w:r>
        <w:rPr>
          <w:rFonts w:ascii="Arial" w:cs="Arial" w:eastAsia="Arial" w:hAnsi="Arial"/>
          <w:sz w:val="18"/>
          <w:szCs w:val="18"/>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line="264"/>
        <w:jc w:val="both"/>
      </w:pPr>
      <w:r>
        <w:t xml:space="preserve">Figure 1 shows both architectures on one cell. A shared speech front end, faster-whisper large-v3 behind push-to-talk, turns the spoken command into one transcript. Both architectures receive that same transcript. Architecture A is an LLM agent, Claude Sonnet 5.5, that loops through planning, perceiving and acting with one tool per turn. Its perception chain is OWLv2 [7] for open-vocabulary detection, SAM [8] for an object mask, and depth from the fixed camera for an object position in the robot base frame. Architecture B is SmolVLA [6]. An encoder path reads two camera views, the robot state and the transcript, and a flow-matching path turns noise into a chunk of 50 small changes of the tool pose. Both send every motion through the same safety envelope and the same controller. A snowflake marks a pretrained part used as it is. A flame marks a part trained on our demonstrations, and only Architecture B has one.</w:t>
      </w:r>
    </w:p>
    <w:p>
      <w:pPr>
        <w:sectPr>
          <w:headerReference w:type="default" r:id="rId7"/>
          <w:footerReference w:type="default" r:id="rId8"/>
          <w:pgSz w:w="11906" w:h="16838" w:orient="portrait"/>
          <w:pgMar w:top="1440" w:right="1440" w:bottom="1440" w:left="1440" w:header="708" w:footer="708" w:gutter="0"/>
          <w:pgNumType w:start="1"/>
          <w:docGrid w:linePitch="360"/>
        </w:sectPr>
      </w:pPr>
    </w:p>
    <w:p>
      <w:pPr>
        <w:keepNext/>
        <w:spacing w:after="60" w:before="120"/>
        <w:jc w:val="center"/>
      </w:pPr>
      <w:r>
        <w:drawing>
          <wp:inline distT="0" distB="0" distL="0" distR="0">
            <wp:extent cx="9144000" cy="5895975"/>
            <wp:effectExtent t="0" r="0" b="0" l="0"/>
            <wp:docPr id="1" name="full.png" descr="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58959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1. </w:t>
      </w:r>
      <w:r>
        <w:rPr>
          <w:rFonts w:ascii="Arial" w:cs="Arial" w:eastAsia="Arial" w:hAnsi="Arial"/>
          <w:sz w:val="18"/>
          <w:szCs w:val="18"/>
        </w:rPr>
        <w:t xml:space="preserve">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w:t>
      </w:r>
    </w:p>
    <w:p>
      <w:pPr>
        <w:sectPr>
          <w:headerReference w:type="default" r:id="rId9"/>
          <w:footerReference w:type="default" r:id="rId10"/>
          <w:pgSz w:w="16838" w:h="11906" w:orient="landscape"/>
          <w:pgMar w:top="800" w:right="720" w:bottom="800" w:left="720" w:header="400" w:footer="400" w:gutter="0"/>
          <w:pgNumType/>
          <w:docGrid w:linePitch="360"/>
        </w:sectPr>
      </w:pPr>
    </w:p>
    <w:p>
      <w:pPr>
        <w:pStyle w:val="Heading2"/>
      </w:pPr>
      <w:r>
        <w:t xml:space="preserve">3.2 Fairness in comparison</w:t>
      </w:r>
    </w:p>
    <w:p>
      <w:pPr>
        <w:spacing w:after="120" w:line="264"/>
        <w:jc w:val="both"/>
      </w:pPr>
      <w:r>
        <w:t xml:space="preserve">The result is only worth something if both architectures get the same problem. Five things are held the same, and each is enforced in code (Table 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50"/>
        <w:gridCol w:w="3350"/>
        <w:gridCol w:w="3626"/>
      </w:tblGrid>
      <w:tr>
        <w:trPr>
          <w:cantSplit/>
          <w:tblHeader/>
        </w:trPr>
        <w:tc>
          <w:tcPr>
            <w:tcW w:type="dxa" w:w="205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Control</w:t>
            </w:r>
          </w:p>
        </w:tc>
        <w:tc>
          <w:tcPr>
            <w:tcW w:type="dxa" w:w="335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is the same</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it is enforced</w:t>
            </w:r>
          </w:p>
        </w:tc>
      </w:tr>
      <w:tr>
        <w:trPr>
          <w:cantSplit/>
        </w:trPr>
        <w:tc>
          <w:tcPr>
            <w:tcW w:type="dxa" w:w="20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cell</w:t>
            </w:r>
          </w:p>
        </w:tc>
        <w:tc>
          <w:tcPr>
            <w:tcW w:type="dxa" w:w="33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UR5e, one OnRobot RG2 gripper, one fixed RGB-D camera, one table</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Every tunable value lives in one configuration file</w:t>
            </w:r>
          </w:p>
        </w:tc>
      </w:tr>
      <w:tr>
        <w:trPr>
          <w:cantSplit/>
        </w:trPr>
        <w:tc>
          <w:tcPr>
            <w:tcW w:type="dxa" w:w="20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shared stages</w:t>
            </w:r>
          </w:p>
        </w:tc>
        <w:tc>
          <w:tcPr>
            <w:tcW w:type="dxa" w:w="33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speech front end, one controller, one safety envelope</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is shared only if both architectures use it at run time. A test checks the imports</w:t>
            </w:r>
          </w:p>
        </w:tc>
      </w:tr>
      <w:tr>
        <w:trPr>
          <w:cantSplit/>
        </w:trPr>
        <w:tc>
          <w:tcPr>
            <w:tcW w:type="dxa" w:w="20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action space</w:t>
            </w:r>
          </w:p>
        </w:tc>
        <w:tc>
          <w:tcPr>
            <w:tcW w:type="dxa" w:w="33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change of tool pose in the base frame plus a gripper target, seven numbers</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B's step limit is derived from A's speed ceiling, and a test checks that they agree</w:t>
            </w:r>
          </w:p>
        </w:tc>
      </w:tr>
      <w:tr>
        <w:trPr>
          <w:cantSplit/>
        </w:trPr>
        <w:tc>
          <w:tcPr>
            <w:tcW w:type="dxa" w:w="20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frozen tests</w:t>
            </w:r>
          </w:p>
        </w:tc>
        <w:tc>
          <w:tcPr>
            <w:tcW w:type="dxa" w:w="33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Tiers, spoken commands, 20 layouts on five fixed crosses and success rules</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suite file is frozen. Any change gets a dated entry in its changelog and is declared in the report</w:t>
            </w:r>
          </w:p>
        </w:tc>
      </w:tr>
      <w:tr>
        <w:trPr>
          <w:cantSplit/>
        </w:trPr>
        <w:tc>
          <w:tcPr>
            <w:tcW w:type="dxa" w:w="205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Blind harness</w:t>
            </w:r>
          </w:p>
        </w:tc>
        <w:tc>
          <w:tcPr>
            <w:tcW w:type="dxa" w:w="335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Trials run through one call, run(instruction) to outcome</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harness imports neither architecture, and a test enforces it</w:t>
            </w:r>
          </w:p>
        </w:tc>
      </w:tr>
    </w:tbl>
    <w:p>
      <w:pPr>
        <w:spacing w:after="240" w:before="80"/>
        <w:jc w:val="both"/>
      </w:pPr>
      <w:r>
        <w:rPr>
          <w:rFonts w:ascii="Arial" w:cs="Arial" w:eastAsia="Arial" w:hAnsi="Arial"/>
          <w:b/>
          <w:bCs/>
          <w:sz w:val="18"/>
          <w:szCs w:val="18"/>
        </w:rPr>
        <w:t xml:space="preserve">Table 3. </w:t>
      </w:r>
      <w:r>
        <w:rPr>
          <w:rFonts w:ascii="Arial" w:cs="Arial" w:eastAsia="Arial" w:hAnsi="Arial"/>
          <w:sz w:val="18"/>
          <w:szCs w:val="18"/>
        </w:rPr>
        <w:t xml:space="preserve">The five controls that keep the comparison fair.</w:t>
      </w:r>
    </w:p>
    <w:p>
      <w:pPr>
        <w:pStyle w:val="Heading2"/>
      </w:pPr>
      <w:r>
        <w:t xml:space="preserve">3.3 Known differences</w:t>
      </w:r>
    </w:p>
    <w:p>
      <w:pPr>
        <w:spacing w:after="120" w:line="264"/>
        <w:jc w:val="both"/>
      </w:pPr>
      <w:r>
        <w:t xml:space="preserve">Two differences cannot be removed. Table 4 states them and how each is handled, so that a reader can weigh them.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50"/>
        <w:gridCol w:w="3350"/>
        <w:gridCol w:w="3626"/>
      </w:tblGrid>
      <w:tr>
        <w:trPr>
          <w:cantSplit/>
          <w:tblHeader/>
        </w:trPr>
        <w:tc>
          <w:tcPr>
            <w:tcW w:type="dxa" w:w="205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Difference</w:t>
            </w:r>
          </w:p>
        </w:tc>
        <w:tc>
          <w:tcPr>
            <w:tcW w:type="dxa" w:w="335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Why it exists</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 handle it</w:t>
            </w:r>
          </w:p>
        </w:tc>
      </w:tr>
      <w:tr>
        <w:trPr>
          <w:cantSplit/>
        </w:trPr>
        <w:tc>
          <w:tcPr>
            <w:tcW w:type="dxa" w:w="20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Extra wrist camera</w:t>
            </w:r>
          </w:p>
        </w:tc>
        <w:tc>
          <w:tcPr>
            <w:tcW w:type="dxa" w:w="335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Reference SmolVLA setups use an overhead view plus a wrist view. A uses depth from the fixed camera, which B cannot read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Each side gets the sensors its design needs. Nothing depends on wrist depth, and the report states the bias</w:t>
            </w:r>
          </w:p>
        </w:tc>
      </w:tr>
      <w:tr>
        <w:trPr>
          <w:cantSplit/>
        </w:trPr>
        <w:tc>
          <w:tcPr>
            <w:tcW w:type="dxa" w:w="205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Prior knowledge vs demos</w:t>
            </w:r>
          </w:p>
        </w:tc>
        <w:tc>
          <w:tcPr>
            <w:tcW w:type="dxa" w:w="335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carries knowledge in its pretrained LLM, its detector and its hand-written skills. B learns from about 50 demonstrations per task</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costs are logged and shown side by side: A's hours, lines of code and API cost, and B's episodes, lab hours and GPU hours</w:t>
            </w:r>
          </w:p>
        </w:tc>
      </w:tr>
    </w:tbl>
    <w:p>
      <w:pPr>
        <w:spacing w:after="240" w:before="80"/>
        <w:jc w:val="both"/>
      </w:pPr>
      <w:r>
        <w:rPr>
          <w:rFonts w:ascii="Arial" w:cs="Arial" w:eastAsia="Arial" w:hAnsi="Arial"/>
          <w:b/>
          <w:bCs/>
          <w:sz w:val="18"/>
          <w:szCs w:val="18"/>
        </w:rPr>
        <w:t xml:space="preserve">Table 4. </w:t>
      </w:r>
      <w:r>
        <w:rPr>
          <w:rFonts w:ascii="Arial" w:cs="Arial" w:eastAsia="Arial" w:hAnsi="Arial"/>
          <w:sz w:val="18"/>
          <w:szCs w:val="18"/>
        </w:rPr>
        <w:t xml:space="preserve">Known differences between the architectures.</w:t>
      </w:r>
    </w:p>
    <w:p>
      <w:pPr>
        <w:pStyle w:val="Heading2"/>
      </w:pPr>
      <w:r>
        <w:t xml:space="preserve">3.4 Task suite and predictions</w:t>
      </w:r>
    </w:p>
    <w:p>
      <w:pPr>
        <w:spacing w:after="120" w:line="264"/>
        <w:jc w:val="both"/>
      </w:pPr>
      <w:r>
        <w:t xml:space="preserve">The task suite has five tiers (Table 5). Each architecture runs 20 trials per tier. Objects are placed on five fixed crosses on the table, the same five for every tier, and each object keeps one fixed orientation. A layout is one way of placing the objects on the crosses. Tier 0 uses all 20 ways to place two objects on five crosses. Tiers 1 and 2 use 20 of the 60 ways to place three objects, chosen so each object stands on each cross four times. Both architectures get the same 20 layouts in the same order. B's demonstrations and A's tuning stay off the crosses, so the scored positions are never seen before scoring. The spoken commands are scripted, and half of them are phrasings never used in training or in prompts. Each trial logs the transcript, so a speech error is never blamed on A or B.</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100"/>
        <w:gridCol w:w="3000"/>
        <w:gridCol w:w="33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Tier</w:t>
            </w:r>
          </w:p>
        </w:tc>
        <w:tc>
          <w:tcPr>
            <w:tcW w:type="dxa" w:w="21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Task</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Example command</w:t>
            </w:r>
          </w:p>
        </w:tc>
        <w:tc>
          <w:tcPr>
            <w:tcW w:type="dxa" w:w="33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Prediction</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w:t>
            </w:r>
          </w:p>
        </w:tc>
        <w:tc>
          <w:tcPr>
            <w:tcW w:type="dxa" w:w="21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Static pick and place</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that orange into that red container"</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succeed. Checks the wiring only</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w:t>
            </w:r>
          </w:p>
        </w:tc>
        <w:tc>
          <w:tcPr>
            <w:tcW w:type="dxa" w:w="21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Pouring</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the orange juice into the glass"</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The tilt is hard to script</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w:t>
            </w:r>
          </w:p>
        </w:tc>
        <w:tc>
          <w:tcPr>
            <w:tcW w:type="dxa" w:w="21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Ambiguous command</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me a drink" with two drinks on the table</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 can ask, and B falls back on its training data</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w:t>
            </w:r>
          </w:p>
        </w:tc>
        <w:tc>
          <w:tcPr>
            <w:tcW w:type="dxa" w:w="21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Dynamic drawer</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"Put the snack in the drawer", and a person closes the drawer mid‑task</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It reacts at 20 Hz without a plan</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w:t>
            </w:r>
          </w:p>
        </w:tc>
        <w:tc>
          <w:tcPr>
            <w:tcW w:type="dxa" w:w="21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Generalisation</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Objects and phrasings never seen before</w:t>
            </w:r>
          </w:p>
        </w:tc>
        <w:tc>
          <w:tcPr>
            <w:tcW w:type="dxa" w:w="33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Its detector is open‑vocabulary</w:t>
            </w:r>
          </w:p>
        </w:tc>
      </w:tr>
    </w:tbl>
    <w:p>
      <w:pPr>
        <w:spacing w:after="240" w:before="80"/>
        <w:jc w:val="both"/>
      </w:pPr>
      <w:r>
        <w:rPr>
          <w:rFonts w:ascii="Arial" w:cs="Arial" w:eastAsia="Arial" w:hAnsi="Arial"/>
          <w:b/>
          <w:bCs/>
          <w:sz w:val="18"/>
          <w:szCs w:val="18"/>
        </w:rPr>
        <w:t xml:space="preserve">Table 5. </w:t>
      </w:r>
      <w:r>
        <w:rPr>
          <w:rFonts w:ascii="Arial" w:cs="Arial" w:eastAsia="Arial" w:hAnsi="Arial"/>
          <w:sz w:val="18"/>
          <w:szCs w:val="18"/>
        </w:rPr>
        <w:t xml:space="preserve">Task tiers and the prediction for each.</w:t>
      </w:r>
    </w:p>
    <w:p>
      <w:pPr>
        <w:spacing w:after="120" w:line="264"/>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Architecture A: Modular LLM Agent</w:t>
      </w:r>
    </w:p>
    <w:p>
      <w:pPr>
        <w:pStyle w:val="Heading2"/>
      </w:pPr>
      <w:r>
        <w:t xml:space="preserve">4.1 From a pipeline to a loop</w:t>
      </w:r>
    </w:p>
    <w:p>
      <w:pPr>
        <w:spacing w:after="120" w:line="264"/>
        <w:jc w:val="both"/>
      </w:pPr>
      <w:r>
        <w:t xml:space="preserve">On 7 October 2026 I decided to change how Architecture A works. In the D1 design, A was a fixed pipeline with a planner at the end. It perceived the table once, and the LLM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line="264"/>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pStyle w:val="Heading2"/>
      </w:pPr>
      <w:r>
        <w:t xml:space="preserve">4.2 Perception, planning and skills</w:t>
      </w:r>
    </w:p>
    <w:p>
      <w:pPr>
        <w:spacing w:after="120" w:line="264"/>
        <w:jc w:val="both"/>
      </w:pPr>
      <w:r>
        <w:t xml:space="preserve">The current A is a loop of plan, perceive and act, with one skill per turn (Figure 2). A run starts with grounding. The LLM turns the transcript into short noun phrases such as "orange" and "red tray", because the detector takes phrases and not sentences.</w:t>
      </w:r>
    </w:p>
    <w:p>
      <w:pPr>
        <w:spacing w:after="120" w:line="264"/>
        <w:jc w:val="both"/>
      </w:pPr>
      <w:r>
        <w:t xml:space="preserve">Perception turns the camera frames into object positions in the robot base frame. OWLv2 [7] finds a box for each phrase, and SAM [8] cuts a mask of the object inside the box. A ray through the mask centre, scaled by the depth of the object's own pixels, gives a point in the camera frame. The camera to base transform (Section 6.4) maps that point into the base frame. An object outside the safety envelope is reported as out of reach.</w:t>
      </w:r>
    </w:p>
    <w:p>
      <w:pPr>
        <w:spacing w:after="120" w:line="264"/>
        <w:jc w:val="both"/>
      </w:pPr>
      <w:r>
        <w:t xml:space="preserve">The planner is Claude Sonnet 5.5. Each turn it sees the transcript, the detected objects and every earlier result, and it returns one tool call. The call is checked against its schema, the envelope and the known objects before it runs, and a refused call goes back to the planner with the reason. The planner can also ask the user a spoken question. A run ends when the planner says it is done, or after six turns.</w:t>
      </w:r>
    </w:p>
    <w:p>
      <w:pPr>
        <w:spacing w:after="120" w:line="264"/>
        <w:jc w:val="both"/>
      </w:pPr>
      <w:r>
        <w:t xml:space="preserve">Each skill is a scripted motion. A pick moves the tool centre point (TCP) through three poses: an approach pose 12 cm above the pick position, a grasp pose at the object and a retreat pose above it. A place uses the same three poses over the place position. After each pick or place the table is perceived again, and the pick check reports the object held if it lies within 50 mm of the TCP. A failed step does not end the run, and the planner may retry. Every stage writes a trace record with pass or fail, duration and data, so each failure has a stage.</w:t>
      </w:r>
    </w:p>
    <w:p>
      <w:pPr>
        <w:spacing w:after="120" w:line="264"/>
        <w:jc w:val="both"/>
      </w:pPr>
      <w:r>
        <w:t xml:space="preserve">This version ran on the arm on 21 October 2026. It fixes the second and third problems in Section 4.1. The first is only partly fixed, because the noun phrases are still chosen once at the start (Section 7.1).</w:t>
      </w:r>
    </w:p>
    <w:p>
      <w:pPr>
        <w:keepNext/>
        <w:spacing w:after="60" w:before="120"/>
        <w:jc w:val="center"/>
      </w:pPr>
      <w:r>
        <w:drawing>
          <wp:inline distT="0" distB="0" distL="0" distR="0">
            <wp:extent cx="5715000" cy="3762375"/>
            <wp:effectExtent t="0" r="0" b="0" l="0"/>
            <wp:docPr id="1" name="archa.png" descr="Architecture A, the version that ran on 21 October 2026. (a) Perception turns pixels into points in the robot base frame. (b) The planner calls one tool per turn, and each motion is check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7623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2. </w:t>
      </w:r>
      <w:r>
        <w:rPr>
          <w:rFonts w:ascii="Arial" w:cs="Arial" w:eastAsia="Arial" w:hAnsi="Arial"/>
          <w:sz w:val="18"/>
          <w:szCs w:val="18"/>
        </w:rPr>
        <w:t xml:space="preserve">Architecture A, the version that ran on 21 October 2026. (a) Perception turns pixels into points in the robot base frame. (b) The planner calls one tool per turn, and each motion is checked.</w:t>
      </w:r>
    </w:p>
    <w:p>
      <w:pPr>
        <w:pStyle w:val="Heading1"/>
      </w:pPr>
      <w:r>
        <w:t xml:space="preserve">5. Architecture B: Fine-tuned SmolVLA</w:t>
      </w:r>
    </w:p>
    <w:p>
      <w:pPr>
        <w:pStyle w:val="Heading2"/>
      </w:pPr>
      <w:r>
        <w:t xml:space="preserve">5.1 Design</w:t>
      </w:r>
    </w:p>
    <w:p>
      <w:pPr>
        <w:spacing w:after="120" w:line="264"/>
        <w:jc w:val="both"/>
      </w:pPr>
      <w:r>
        <w:t xml:space="preserve">Architecture B is SmolVLA [6], fine-tuned on demonstrations recorded on this cell (Figure 3). An encoder path reads two camera views, the robot state and the transcript. SmolVLA keeps its vision-language model frozen by default and trains the action expert and the state projection. The action expert uses flow matching. Starting from noise, ten Euler steps follow a learned velocity field to a chunk of 50 actions. Each action is a change of tool pose in the base frame plus a gripper target, the shared action space of Table 3.</w:t>
      </w:r>
    </w:p>
    <w:p>
      <w:pPr>
        <w:spacing w:after="120" w:line="264"/>
        <w:jc w:val="both"/>
      </w:pPr>
      <w:r>
        <w:t xml:space="preserve">Inference runs on LeRobot's own policy server and robot client, so the arm keeps moving while the model computes the next chunk [9]. B has no path back to the user, because it has no output that can form a question.</w:t>
      </w:r>
    </w:p>
    <w:p>
      <w:pPr>
        <w:keepNext/>
        <w:spacing w:after="60" w:before="120"/>
        <w:jc w:val="center"/>
      </w:pPr>
      <w:r>
        <w:drawing>
          <wp:inline distT="0" distB="0" distL="0" distR="0">
            <wp:extent cx="5715000" cy="4038600"/>
            <wp:effectExtent t="0" r="0" b="0" l="0"/>
            <wp:docPr id="1" name="archb.png" descr="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386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3. </w:t>
      </w:r>
      <w:r>
        <w:rPr>
          <w:rFonts w:ascii="Arial" w:cs="Arial" w:eastAsia="Arial" w:hAnsi="Arial"/>
          <w:sz w:val="18"/>
          <w:szCs w:val="18"/>
        </w:rPr>
        <w:t xml:space="preserve">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w:t>
      </w:r>
    </w:p>
    <w:p>
      <w:pPr>
        <w:pStyle w:val="Heading2"/>
      </w:pPr>
      <w:r>
        <w:t xml:space="preserve">5.2 Training plan</w:t>
      </w:r>
    </w:p>
    <w:p>
      <w:pPr>
        <w:spacing w:after="120" w:line="264"/>
        <w:jc w:val="both"/>
      </w:pPr>
      <w:r>
        <w:t xml:space="preserve">Training starts after the Semester 1 exams, and the plan follows a fixed order.</w:t>
      </w:r>
    </w:p>
    <w:p>
      <w:pPr>
        <w:pStyle w:val="ListParagraph"/>
        <w:numPr>
          <w:ilvl w:val="0"/>
          <w:numId w:val="3"/>
        </w:numPr>
        <w:spacing w:after="60"/>
      </w:pPr>
      <w:r>
        <w:t xml:space="preserve">Record teleoperated demonstrations on the UR5e with a 3D jog device, so that no hands appear in the camera views</w:t>
      </w:r>
    </w:p>
    <w:p>
      <w:pPr>
        <w:pStyle w:val="ListParagraph"/>
        <w:numPr>
          <w:ilvl w:val="0"/>
          <w:numId w:val="3"/>
        </w:numPr>
        <w:spacing w:after="60"/>
      </w:pPr>
      <w:r>
        <w:t xml:space="preserve">Record about 50 episodes per task</w:t>
      </w:r>
    </w:p>
    <w:p>
      <w:pPr>
        <w:pStyle w:val="ListParagraph"/>
        <w:numPr>
          <w:ilvl w:val="0"/>
          <w:numId w:val="3"/>
        </w:numPr>
        <w:spacing w:after="60"/>
      </w:pPr>
      <w:r>
        <w:t xml:space="preserve">Log two camera views and the robot state at 20 Hz</w:t>
      </w:r>
    </w:p>
    <w:p>
      <w:pPr>
        <w:pStyle w:val="ListParagraph"/>
        <w:numPr>
          <w:ilvl w:val="0"/>
          <w:numId w:val="3"/>
        </w:numPr>
        <w:spacing w:after="60"/>
      </w:pPr>
      <w:r>
        <w:t xml:space="preserve">Use 5 to 10 phrasings per task, so that held-out phrasing can be tested</w:t>
      </w:r>
    </w:p>
    <w:p>
      <w:pPr>
        <w:pStyle w:val="ListParagraph"/>
        <w:numPr>
          <w:ilvl w:val="0"/>
          <w:numId w:val="3"/>
        </w:numPr>
        <w:spacing w:after="60"/>
      </w:pPr>
      <w:r>
        <w:t xml:space="preserve">Start with Tier 0 in a small workspace</w:t>
      </w:r>
    </w:p>
    <w:p>
      <w:pPr>
        <w:pStyle w:val="ListParagraph"/>
        <w:numPr>
          <w:ilvl w:val="0"/>
          <w:numId w:val="3"/>
        </w:numPr>
        <w:spacing w:after="60"/>
      </w:pPr>
      <w:r>
        <w:t xml:space="preserve">Fine-tune SmolVLA on the recorded episodes</w:t>
      </w:r>
    </w:p>
    <w:p>
      <w:pPr>
        <w:pStyle w:val="ListParagraph"/>
        <w:numPr>
          <w:ilvl w:val="0"/>
          <w:numId w:val="3"/>
        </w:numPr>
        <w:spacing w:after="60"/>
      </w:pPr>
      <w:r>
        <w:t xml:space="preserve">Widen the workspace once Tier 0 works</w:t>
      </w:r>
    </w:p>
    <w:p>
      <w:pPr>
        <w:pStyle w:val="Heading2"/>
      </w:pPr>
      <w:r>
        <w:t xml:space="preserve">5.3 Safety on the arm</w:t>
      </w:r>
    </w:p>
    <w:p>
      <w:pPr>
        <w:spacing w:after="120" w:line="264"/>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w:t>
      </w:r>
    </w:p>
    <w:p>
      <w:pPr>
        <w:pStyle w:val="Heading1"/>
      </w:pPr>
      <w:r>
        <w:t xml:space="preserve">6. Work Done So Far</w:t>
      </w:r>
    </w:p>
    <w:p>
      <w:pPr>
        <w:pStyle w:val="Heading2"/>
      </w:pPr>
      <w:r>
        <w:t xml:space="preserve">6.1 Before the semester</w:t>
      </w:r>
    </w:p>
    <w:p>
      <w:pPr>
        <w:spacing w:after="120" w:line="264"/>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line="264"/>
        <w:jc w:val="both"/>
      </w:pPr>
      <w:r>
        <w:t xml:space="preserve">Two simulators served as scaffolding (Figure 4).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4572000" cy="1771650"/>
            <wp:effectExtent t="0" r="0" b="0" l="0"/>
            <wp:docPr id="1" name="sim.png" descr="Simulation used before the semester. (a) MuJoCo with the UR5e and Robotiq 2F-85 models. (b) URSim running the PolyScope interfa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77165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4. </w:t>
      </w:r>
      <w:r>
        <w:rPr>
          <w:rFonts w:ascii="Arial" w:cs="Arial" w:eastAsia="Arial" w:hAnsi="Arial"/>
          <w:sz w:val="18"/>
          <w:szCs w:val="18"/>
        </w:rPr>
        <w:t xml:space="preserve">Simulation used before the semester. (a) MuJoCo with the UR5e and Robotiq 2F-85 models. (b) URSim running the PolyScope interface.</w:t>
      </w:r>
    </w:p>
    <w:p>
      <w:pPr>
        <w:pStyle w:val="Heading2"/>
      </w:pPr>
      <w:r>
        <w:t xml:space="preserve">6.2 Software in Weeks 1 to 5</w:t>
      </w:r>
    </w:p>
    <w:p>
      <w:pPr>
        <w:spacing w:after="120" w:line="264"/>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6.3 Grasp failures and diagnosis</w:t>
      </w:r>
    </w:p>
    <w:p>
      <w:pPr>
        <w:spacing w:after="120" w:line="264"/>
        <w:jc w:val="both"/>
      </w:pPr>
      <w:r>
        <w:t xml:space="preserve">The first picks on the real arm, on 1 and 13 October, all missed (Figure 5). Three observations narrowed the search, and they pointed to two causes.</w:t>
      </w:r>
    </w:p>
    <w:p>
      <w:pPr>
        <w:pStyle w:val="ListParagraph"/>
        <w:numPr>
          <w:ilvl w:val="0"/>
          <w:numId w:val="4"/>
        </w:numPr>
        <w:spacing w:after="60"/>
      </w:pPr>
      <w:r>
        <w:rPr>
          <w:b/>
          <w:bCs/>
        </w:rPr>
        <w:t xml:space="preserve">The gripper closed behind the object.</w:t>
      </w:r>
      <w:r>
        <w:t xml:space="preserve"> The fingers came down past the far side of the orange.</w:t>
      </w:r>
    </w:p>
    <w:p>
      <w:pPr>
        <w:pStyle w:val="ListParagraph"/>
        <w:numPr>
          <w:ilvl w:val="0"/>
          <w:numId w:val="4"/>
        </w:numPr>
        <w:spacing w:after="60"/>
      </w:pPr>
      <w:r>
        <w:rPr>
          <w:b/>
          <w:bCs/>
        </w:rPr>
        <w:t xml:space="preserve">The misses were all similar.</w:t>
      </w:r>
      <w:r>
        <w:t xml:space="preserve"> A random error would scatter. A common offset points to a systematic error.</w:t>
      </w:r>
    </w:p>
    <w:p>
      <w:pPr>
        <w:pStyle w:val="ListParagraph"/>
        <w:numPr>
          <w:ilvl w:val="0"/>
          <w:numId w:val="4"/>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5715000" cy="1714500"/>
            <wp:effectExtent t="0" r="0" b="0" l="0"/>
            <wp:docPr id="1" name="runs_fail.png" descr="A failed pick on the real arm before the fixes, from phone video. The fingers close behind the orang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7145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5. </w:t>
      </w:r>
      <w:r>
        <w:rPr>
          <w:rFonts w:ascii="Arial" w:cs="Arial" w:eastAsia="Arial" w:hAnsi="Arial"/>
          <w:sz w:val="18"/>
          <w:szCs w:val="18"/>
        </w:rPr>
        <w:t xml:space="preserve">A failed pick on the real arm before the fixes, from phone video. The fingers close behind the orange.</w:t>
      </w:r>
    </w:p>
    <w:p>
      <w:pPr>
        <w:spacing w:after="120" w:line="264"/>
        <w:jc w:val="both"/>
      </w:pPr>
      <w:r>
        <w:t xml:space="preserve">The first cause was a wrong depth point. The depth of the object was the average of the depth values inside the detection box. A round object does not fill its box, so the corners hold table pixels. With the camera looking down at an angle, those pixels lie farther away than the object. The average moved the pick position along the camera ray to behind the orange (Figure 6). The fix uses SAM [8] to cut a mask of the object inside the box, and the pick position now comes from the mask, so it lies on the object.</w:t>
      </w:r>
    </w:p>
    <w:p>
      <w:pPr>
        <w:keepNext/>
        <w:spacing w:after="60" w:before="120"/>
        <w:jc w:val="center"/>
      </w:pPr>
      <w:r>
        <w:drawing>
          <wp:inline distT="0" distB="0" distL="0" distR="0">
            <wp:extent cx="5715000" cy="1971675"/>
            <wp:effectExtent t="0" r="0" b="0" l="0"/>
            <wp:docPr id="1" name="depthfig.png" descr="Why the box depth put the target behind the object. (a) Along the camera line of sight, with the face of the detection box the camera sees in red. (b) The camera image: the detection box holds table pixels that the SAM mask leaves ou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9716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6. </w:t>
      </w:r>
      <w:r>
        <w:rPr>
          <w:rFonts w:ascii="Arial" w:cs="Arial" w:eastAsia="Arial" w:hAnsi="Arial"/>
          <w:sz w:val="18"/>
          <w:szCs w:val="18"/>
        </w:rPr>
        <w:t xml:space="preserve">Why the box depth put the target behind the object. (a) Along the camera line of sight, with the face of the detection box the camera sees in red. (b) The camera image: the detection box holds table pixels that the SAM mask leaves out.</w:t>
      </w:r>
    </w:p>
    <w:p>
      <w:pPr>
        <w:spacing w:after="120" w:line="264"/>
        <w:jc w:val="both"/>
      </w:pPr>
      <w:r>
        <w:t xml:space="preserve">The second cause was a bias in the camera to base transform. Section 6.4 explains how the transform is fitted. A shift that is the same at every fitting pose does not raise the fit residual, so the residual cannot reveal it. The fix is a reach test with keyboard jog, run after every calibration fit. The arm hovers 2 cm above a thin pen cross on the table, and I jog it with the keyboard until the TCP is over the cross. The TCP position is then read over RTDE, and its offset from the commanded position is the reach error.</w:t>
      </w:r>
    </w:p>
    <w:p>
      <w:pPr>
        <w:pStyle w:val="Heading2"/>
      </w:pPr>
      <w:r>
        <w:t xml:space="preserve">6.4 Calibration without markers</w:t>
      </w:r>
    </w:p>
    <w:p>
      <w:pPr>
        <w:spacing w:after="120" w:line="264"/>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0"/>
        <w:gridCol w:w="3400"/>
        <w:gridCol w:w="2300"/>
        <w:gridCol w:w="2426"/>
      </w:tblGrid>
      <w:tr>
        <w:trPr>
          <w:cantSplit/>
          <w:tblHeader/>
        </w:trPr>
        <w:tc>
          <w:tcPr>
            <w:tcW w:type="dxa" w:w="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Date</w:t>
            </w:r>
          </w:p>
        </w:tc>
        <w:tc>
          <w:tcPr>
            <w:tcW w:type="dxa" w:w="34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Method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Fit result</w:t>
            </w:r>
          </w:p>
        </w:tc>
        <w:tc>
          <w:tcPr>
            <w:tcW w:type="dxa" w:w="24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Outcome on the arm</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Measured camera mount</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Needed a 70 mm hand correction</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13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five fits of 12 to 34 poses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11.4 to 16.3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still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after the arm was moved, 39 poses, then levelled (offset 16.8 mm, tilt 2.1 degrees)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7.3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test missed by 18 to 36 mm, mostly along base x</w:t>
            </w:r>
          </w:p>
        </w:tc>
      </w:tr>
      <w:tr>
        <w:trPr>
          <w:cantSplit/>
        </w:trPr>
        <w:tc>
          <w:tcPr>
            <w:tcW w:type="dxa" w:w="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correction fitted to 4 jogged points (yaw 3.3 degrees plus a shift)</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Residual 2.3 to 6.8 mm. Leave-one-out 4 to 12 mm</w:t>
            </w:r>
          </w:p>
        </w:tc>
        <w:tc>
          <w:tcPr>
            <w:tcW w:type="dxa" w:w="24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 new points needed no jog at a 2 mm step. First full pick and place</w:t>
            </w:r>
          </w:p>
        </w:tc>
      </w:tr>
    </w:tbl>
    <w:p>
      <w:pPr>
        <w:spacing w:after="240" w:before="80"/>
        <w:jc w:val="both"/>
      </w:pPr>
      <w:r>
        <w:rPr>
          <w:rFonts w:ascii="Arial" w:cs="Arial" w:eastAsia="Arial" w:hAnsi="Arial"/>
          <w:b/>
          <w:bCs/>
          <w:sz w:val="18"/>
          <w:szCs w:val="18"/>
        </w:rPr>
        <w:t xml:space="preserve">Table 6. </w:t>
      </w:r>
      <w:r>
        <w:rPr>
          <w:rFonts w:ascii="Arial" w:cs="Arial" w:eastAsia="Arial" w:hAnsi="Arial"/>
          <w:sz w:val="18"/>
          <w:szCs w:val="18"/>
        </w:rPr>
        <w:t xml:space="preserve">Calibration history of the camera to base transform.</w:t>
      </w:r>
    </w:p>
    <w:p>
      <w:pPr>
        <w:spacing w:after="120" w:line="264"/>
        <w:jc w:val="both"/>
      </w:pPr>
      <w:r>
        <w:t xml:space="preserve">The reach test found what the fit residual could not.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spacing w:after="120" w:line="264"/>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6.5 First pick and place</w:t>
      </w:r>
    </w:p>
    <w:p>
      <w:pPr>
        <w:spacing w:after="120" w:line="264"/>
        <w:jc w:val="both"/>
      </w:pPr>
      <w:r>
        <w:t xml:space="preserve">On 21 October 2026 the new Architecture A ran from speech to a full pick and place for the first time (Figure 7). Table 7 follows the trace of the clean run, which took 31.2 s in all. The spoken instruction was </w:t>
      </w:r>
      <w:r>
        <w:rPr>
          <w:i/>
          <w:iCs/>
        </w:rPr>
        <w:t xml:space="preserve">"Pick up the orange and place it in the red tray."</w:t>
      </w:r>
      <w:r>
        <w:t xml:space="preserve"> The pick check saw the orange 43 mm from the TCP, inside the 50 mm limit, so it reported the orange held. The place check saw the orange 162 mm from the tool, so it reported the orange released. I judged both steps correct at the bench.</w:t>
      </w:r>
    </w:p>
    <w:p>
      <w:pPr>
        <w:keepNext/>
        <w:spacing w:after="60" w:before="120"/>
        <w:jc w:val="center"/>
      </w:pPr>
      <w:r>
        <w:drawing>
          <wp:inline distT="0" distB="0" distL="0" distR="0">
            <wp:extent cx="5715000" cy="1714500"/>
            <wp:effectExtent t="0" r="0" b="0" l="0"/>
            <wp:docPr id="1" name="runs_success.png" descr="The full pick and place on the real arm on 21 October 2026, from phone vide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7145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7. </w:t>
      </w:r>
      <w:r>
        <w:rPr>
          <w:rFonts w:ascii="Arial" w:cs="Arial" w:eastAsia="Arial" w:hAnsi="Arial"/>
          <w:sz w:val="18"/>
          <w:szCs w:val="18"/>
        </w:rPr>
        <w:t xml:space="preserve">The full pick and place on the real arm on 21 October 2026, from phone video.</w:t>
      </w:r>
    </w:p>
    <w:p>
      <w:pPr>
        <w:spacing w:after="120" w:line="264"/>
        <w:jc w:val="both"/>
      </w:pPr>
      <w:r>
        <w:t xml:space="preserve">The trace also shows a gap. In its final summary the planner said the orange sat about 7 cm from the centre of the tray, possibly on its rim. The place check only tests that the orange left the gripper, and it does not test where the orange landed. An earlier run that day placed the orange correctly, but the drop knocked a light pink container away, and A reported that step as not done. Figure 8 shows the camera view.</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5826"/>
        <w:gridCol w:w="1200"/>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Stage</w:t>
            </w:r>
          </w:p>
        </w:tc>
        <w:tc>
          <w:tcPr>
            <w:tcW w:type="dxa" w:w="5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the trace records</w:t>
            </w:r>
          </w:p>
        </w:tc>
        <w:tc>
          <w:tcPr>
            <w:tcW w:type="dxa" w:w="1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Time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Grounding</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Queries "orange" and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4.03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found. Orange at (0.551, −0.303, 0.206) m with score 0.79</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0.74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call: pick the orange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1.54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Grip closed at 70 mm. Orange 43 mm from the tool, so held</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9.25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one call: place in the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2.41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Released. Orange 162 mm from the tool</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6.19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done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4.15 s</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Whole run</w:t>
            </w:r>
          </w:p>
        </w:tc>
        <w:tc>
          <w:tcPr>
            <w:tcW w:type="dxa" w:w="5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Operator judged both steps correct</w:t>
            </w:r>
          </w:p>
        </w:tc>
        <w:tc>
          <w:tcPr>
            <w:tcW w:type="dxa" w:w="1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31.2 s</w:t>
            </w:r>
          </w:p>
        </w:tc>
      </w:tr>
    </w:tbl>
    <w:p>
      <w:pPr>
        <w:spacing w:after="240" w:before="80"/>
        <w:jc w:val="both"/>
      </w:pPr>
      <w:r>
        <w:rPr>
          <w:rFonts w:ascii="Arial" w:cs="Arial" w:eastAsia="Arial" w:hAnsi="Arial"/>
          <w:b/>
          <w:bCs/>
          <w:sz w:val="18"/>
          <w:szCs w:val="18"/>
        </w:rPr>
        <w:t xml:space="preserve">Table 7. </w:t>
      </w:r>
      <w:r>
        <w:rPr>
          <w:rFonts w:ascii="Arial" w:cs="Arial" w:eastAsia="Arial" w:hAnsi="Arial"/>
          <w:sz w:val="18"/>
          <w:szCs w:val="18"/>
        </w:rPr>
        <w:t xml:space="preserve">Trace of the clean run on 21 October 2026, stage by stage.</w:t>
      </w:r>
    </w:p>
    <w:p>
      <w:pPr>
        <w:keepNext/>
        <w:spacing w:after="60" w:before="120"/>
        <w:jc w:val="center"/>
      </w:pPr>
      <w:r>
        <w:drawing>
          <wp:inline distT="0" distB="0" distL="0" distR="0">
            <wp:extent cx="5715000" cy="1905000"/>
            <wp:effectExtent t="0" r="0" b="0" l="0"/>
            <wp:docPr id="1" name="rgbd.png" descr="Colour and aligned depth frames from the fixed camera on the real cell. The pen crosses on the table are reach-test target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9050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8. </w:t>
      </w:r>
      <w:r>
        <w:rPr>
          <w:rFonts w:ascii="Arial" w:cs="Arial" w:eastAsia="Arial" w:hAnsi="Arial"/>
          <w:sz w:val="18"/>
          <w:szCs w:val="18"/>
        </w:rPr>
        <w:t xml:space="preserve">Colour and aligned depth frames from the fixed camera on the real cell. The pen crosses on the table are reach-test targets.</w:t>
      </w:r>
    </w:p>
    <w:p>
      <w:pPr>
        <w:pStyle w:val="Heading2"/>
      </w:pPr>
      <w:r>
        <w:t xml:space="preserve">6.6 Problems encountered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700"/>
        <w:gridCol w:w="2700"/>
        <w:gridCol w:w="3626"/>
      </w:tblGrid>
      <w:tr>
        <w:trPr>
          <w:cantSplit/>
          <w:tblHeader/>
        </w:trPr>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Problem</w:t>
            </w:r>
          </w:p>
        </w:tc>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Lab moved the arm and the camera</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All calibration was redone on 21 Oct</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Tripod on tape marks, a centre-pixel depth check each session, a fit and a reach test each session</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"RTDE input registers are already in use"</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arm could not be driven</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Traced to a suspended script still holding the arm. The controller now disconnects on close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held object read above the height ceiling</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command after a pick was refused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Seen objects are now judged by the sector and the floor only</w:t>
            </w:r>
          </w:p>
        </w:tc>
      </w:tr>
      <w:tr>
        <w:trPr>
          <w:cantSplit/>
        </w:trPr>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OWLv2 scored "pink tray" below its 0.3 threshold</w:t>
            </w:r>
          </w:p>
        </w:tc>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destination was not found</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 0 destination changed to the red container, with a dated changelog entry</w:t>
            </w:r>
          </w:p>
        </w:tc>
      </w:tr>
    </w:tbl>
    <w:p>
      <w:pPr>
        <w:spacing w:after="240" w:before="80"/>
        <w:jc w:val="both"/>
      </w:pPr>
      <w:r>
        <w:rPr>
          <w:rFonts w:ascii="Arial" w:cs="Arial" w:eastAsia="Arial" w:hAnsi="Arial"/>
          <w:b/>
          <w:bCs/>
          <w:sz w:val="18"/>
          <w:szCs w:val="18"/>
        </w:rPr>
        <w:t xml:space="preserve">Table 8. </w:t>
      </w:r>
      <w:r>
        <w:rPr>
          <w:rFonts w:ascii="Arial" w:cs="Arial" w:eastAsia="Arial" w:hAnsi="Arial"/>
          <w:sz w:val="18"/>
          <w:szCs w:val="18"/>
        </w:rPr>
        <w:t xml:space="preserve">Problems met in Semester 1 and the response to each.</w:t>
      </w:r>
    </w:p>
    <w:p>
      <w:pPr>
        <w:pStyle w:val="Heading1"/>
      </w:pPr>
      <w:r>
        <w:t xml:space="preserve">7. Future Work</w:t>
      </w:r>
    </w:p>
    <w:p>
      <w:pPr>
        <w:pStyle w:val="Heading2"/>
      </w:pPr>
      <w:r>
        <w:t xml:space="preserve">7.1 Remaining work</w:t>
      </w:r>
    </w:p>
    <w:p>
      <w:pPr>
        <w:pStyle w:val="ListParagraph"/>
        <w:numPr>
          <w:ilvl w:val="0"/>
          <w:numId w:val="3"/>
        </w:numPr>
        <w:spacing w:after="60"/>
      </w:pPr>
      <w:r>
        <w:t xml:space="preserve">Refit the transform with a matte ball, drop the empirical correction, and validate it with the reach test</w:t>
      </w:r>
    </w:p>
    <w:p>
      <w:pPr>
        <w:pStyle w:val="ListParagraph"/>
        <w:numPr>
          <w:ilvl w:val="0"/>
          <w:numId w:val="3"/>
        </w:numPr>
        <w:spacing w:after="60"/>
      </w:pPr>
      <w:r>
        <w:t xml:space="preserve">Run the 20-trial Tier 0 run through the harness in December 2026, with success judged at the bench</w:t>
      </w:r>
    </w:p>
    <w:p>
      <w:pPr>
        <w:pStyle w:val="ListParagraph"/>
        <w:numPr>
          <w:ilvl w:val="0"/>
          <w:numId w:val="3"/>
        </w:numPr>
        <w:spacing w:after="60"/>
      </w:pPr>
      <w:r>
        <w:t xml:space="preserve">Make the place check test where the object landed, and set the release height</w:t>
      </w:r>
    </w:p>
    <w:p>
      <w:pPr>
        <w:pStyle w:val="ListParagraph"/>
        <w:numPr>
          <w:ilvl w:val="0"/>
          <w:numId w:val="3"/>
        </w:numPr>
        <w:spacing w:after="60"/>
      </w:pPr>
      <w:r>
        <w:t xml:space="preserve">Make perception a tool the planner calls with its own noun phrases, so it can look for new words after a clarification, as Tier 2 needs</w:t>
      </w:r>
    </w:p>
    <w:p>
      <w:pPr>
        <w:pStyle w:val="ListParagraph"/>
        <w:numPr>
          <w:ilvl w:val="0"/>
          <w:numId w:val="3"/>
        </w:numPr>
        <w:spacing w:after="60"/>
      </w:pPr>
      <w:r>
        <w:t xml:space="preserve">Write the pour skill for Tier 1 and finish the drawer skill for Tier 3</w:t>
      </w:r>
    </w:p>
    <w:p>
      <w:pPr>
        <w:pStyle w:val="ListParagraph"/>
        <w:numPr>
          <w:ilvl w:val="0"/>
          <w:numId w:val="3"/>
        </w:numPr>
        <w:spacing w:after="60"/>
      </w:pPr>
      <w:r>
        <w:t xml:space="preserve">Record the demonstrations and fine-tune Architecture B in the order of Section 5.2</w:t>
      </w:r>
    </w:p>
    <w:p>
      <w:pPr>
        <w:pStyle w:val="Heading2"/>
      </w:pPr>
      <w:r>
        <w:t xml:space="preserve">7.2 Changes to the original requirements</w:t>
      </w:r>
    </w:p>
    <w:p>
      <w:pPr>
        <w:spacing w:after="120" w:line="264"/>
        <w:jc w:val="both"/>
      </w:pPr>
      <w:r>
        <w:t xml:space="preserve">Four changes were made in Semester 1, and each is recorded with a date. Architecture A became a loop on 7 October (Section 4.1). Speech became the only input on 13 October, so no trial can be typed. The Tier 0 objects changed from a red cube and a box to an orange and a red container, on 13 and 26 October, because of what was at hand and what the detector could find. The layouts changed on 29 October from random table coordinates to five fixed crosses. A coordinate cannot be placed by hand at the bench, and after the arm was moved on 21 October the old coordinates fell outside its reach.</w:t>
      </w:r>
    </w:p>
    <w:p>
      <w:pPr>
        <w:pStyle w:val="Heading2"/>
      </w:pPr>
      <w:r>
        <w:t xml:space="preserve">7.3 Risks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2900"/>
        <w:gridCol w:w="3826"/>
      </w:tblGrid>
      <w:tr>
        <w:trPr>
          <w:cantSplit/>
          <w:tblHeader/>
        </w:trPr>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Risk</w:t>
            </w:r>
          </w:p>
        </w:tc>
        <w:tc>
          <w:tcPr>
            <w:tcW w:type="dxa" w:w="2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coverage</w:t>
            </w:r>
          </w:p>
        </w:tc>
        <w:tc>
          <w:tcPr>
            <w:tcW w:type="dxa" w:w="2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fails outside the region it was shown</w:t>
            </w:r>
          </w:p>
        </w:tc>
        <w:tc>
          <w:tcPr>
            <w:tcW w:type="dxa" w:w="3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Start in a small workspace, where density matters more than count, then widen</w:t>
            </w:r>
          </w:p>
        </w:tc>
      </w:tr>
      <w:tr>
        <w:trPr>
          <w:cantSplit/>
        </w:trPr>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quality</w:t>
            </w:r>
          </w:p>
        </w:tc>
        <w:tc>
          <w:tcPr>
            <w:tcW w:type="dxa" w:w="2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Hands in view or uneven motion teach the wrong cues</w:t>
            </w:r>
          </w:p>
        </w:tc>
        <w:tc>
          <w:tcPr>
            <w:tcW w:type="dxa" w:w="3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Jog device instead of hand guiding. Inspect the first five episodes before recording more</w:t>
            </w:r>
          </w:p>
        </w:tc>
      </w:tr>
      <w:tr>
        <w:trPr>
          <w:cantSplit/>
        </w:trPr>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GPU memory</w:t>
            </w:r>
          </w:p>
        </w:tc>
        <w:tc>
          <w:tcPr>
            <w:tcW w:type="dxa" w:w="2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12 GB may not fit the SmolVLA fine‑tune</w:t>
            </w:r>
          </w:p>
        </w:tc>
        <w:tc>
          <w:tcPr>
            <w:tcW w:type="dxa" w:w="3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Short test run on the first episodes. Then gradient accumulation, gradient checkpointing, an 8-bit optimiser or a frozen vision backbone</w:t>
            </w:r>
          </w:p>
        </w:tc>
      </w:tr>
      <w:tr>
        <w:trPr>
          <w:cantSplit/>
        </w:trPr>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Calibration drift</w:t>
            </w:r>
          </w:p>
        </w:tc>
        <w:tc>
          <w:tcPr>
            <w:tcW w:type="dxa" w:w="2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misses, and B sees a view it was not trained on</w:t>
            </w:r>
          </w:p>
        </w:tc>
        <w:tc>
          <w:tcPr>
            <w:tcW w:type="dxa" w:w="3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and reach test each session. Record demonstrations across the small range of camera positions</w:t>
            </w:r>
          </w:p>
        </w:tc>
      </w:tr>
      <w:tr>
        <w:trPr>
          <w:cantSplit/>
        </w:trPr>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Fair comparison</w:t>
            </w:r>
          </w:p>
        </w:tc>
        <w:tc>
          <w:tcPr>
            <w:tcW w:type="dxa" w:w="2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unequal setting biases the result</w:t>
            </w:r>
          </w:p>
        </w:tc>
        <w:tc>
          <w:tcPr>
            <w:tcW w:type="dxa" w:w="3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Shared modules, a frozen suite, a blind harness and a dated changelog</w:t>
            </w:r>
          </w:p>
        </w:tc>
      </w:tr>
      <w:tr>
        <w:trPr>
          <w:cantSplit/>
        </w:trPr>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Learned actions</w:t>
            </w:r>
          </w:p>
        </w:tc>
        <w:tc>
          <w:tcPr>
            <w:tcW w:type="dxa" w:w="2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predicted chunk can move the arm unsafely</w:t>
            </w:r>
          </w:p>
        </w:tc>
        <w:tc>
          <w:tcPr>
            <w:tcW w:type="dxa" w:w="3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Speed clamp and envelope on every action. Test the e-stop recovery before any trial</w:t>
            </w:r>
          </w:p>
        </w:tc>
      </w:tr>
    </w:tbl>
    <w:p>
      <w:pPr>
        <w:spacing w:after="240" w:before="80"/>
        <w:jc w:val="both"/>
      </w:pPr>
      <w:r>
        <w:rPr>
          <w:rFonts w:ascii="Arial" w:cs="Arial" w:eastAsia="Arial" w:hAnsi="Arial"/>
          <w:b/>
          <w:bCs/>
          <w:sz w:val="18"/>
          <w:szCs w:val="18"/>
        </w:rPr>
        <w:t xml:space="preserve">Table 9. </w:t>
      </w:r>
      <w:r>
        <w:rPr>
          <w:rFonts w:ascii="Arial" w:cs="Arial" w:eastAsia="Arial" w:hAnsi="Arial"/>
          <w:sz w:val="18"/>
          <w:szCs w:val="18"/>
        </w:rPr>
        <w:t xml:space="preserve">Risks for Semester 2 and the response to each.</w:t>
      </w:r>
    </w:p>
    <w:p>
      <w:pPr>
        <w:pStyle w:val="Heading2"/>
      </w:pPr>
      <w:r>
        <w:t xml:space="preserve">7.4 Schedule</w:t>
      </w:r>
    </w:p>
    <w:p>
      <w:pPr>
        <w:spacing w:after="120" w:line="264"/>
        <w:jc w:val="both"/>
      </w:pPr>
      <w:r>
        <w:t xml:space="preserve">Figure 9 shows the plan to the end of the project. The matte-ball refit and the 20-trial Tier 0 run of A take place in December, after the exams, and the demonstrations start in the same vacation.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71700"/>
            <wp:effectExtent t="0" r="0" b="0" l="0"/>
            <wp:docPr id="1" name="gantt.png" descr="Schedule from Semester 1 Week 11 to the oral presentation in May 202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1717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9. </w:t>
      </w:r>
      <w:r>
        <w:rPr>
          <w:rFonts w:ascii="Arial" w:cs="Arial" w:eastAsia="Arial" w:hAnsi="Arial"/>
          <w:sz w:val="18"/>
          <w:szCs w:val="18"/>
        </w:rPr>
        <w:t xml:space="preserve">Schedule from Semester 1 Week 11 to the oral presentation in May 2027.</w:t>
      </w:r>
    </w:p>
    <w:p>
      <w:pPr>
        <w:pStyle w:val="Heading1"/>
      </w:pPr>
      <w:r>
        <w:t xml:space="preserve">8. Conclusion</w:t>
      </w:r>
    </w:p>
    <w:p>
      <w:pPr>
        <w:spacing w:after="120" w:line="264"/>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line="264"/>
        <w:jc w:val="both"/>
      </w:pPr>
      <w:r>
        <w:t xml:space="preserve">The assessment is mixed. The fairness controls are written into code, and the harness has been frozen since August. The calibration still depends on an empirical correction, and the 20-trial Tier 0 run is planned for December 2026. Architecture B has its robot side written but no episode recorded yet. Its training in January and February is the largest risk to the schedule, and the order of work in Section 5.2 is set to meet it.</w:t>
      </w:r>
    </w:p>
    <w:p>
      <w:pPr>
        <w:pStyle w:val="Heading1"/>
      </w:pPr>
      <w:r>
        <w:t xml:space="preserve">9. Acknowledging the Use of GAI</w:t>
      </w:r>
    </w:p>
    <w:p>
      <w:pPr>
        <w:spacing w:after="120" w:line="264"/>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31edb704597361982becab6fa14a9c18cee634f8.png"/><Relationship Id="rId14" Type="http://schemas.openxmlformats.org/officeDocument/2006/relationships/image" Target="media/1576691cb5c17c30b0c4856c83c9cb68e2852b8a.png"/><Relationship Id="rId15" Type="http://schemas.openxmlformats.org/officeDocument/2006/relationships/image" Target="media/a0bcd9e29ba70d555c1639cef868c237cc0f9366.png"/><Relationship Id="rId16" Type="http://schemas.openxmlformats.org/officeDocument/2006/relationships/image" Target="media/fd987d52138a96a8ac3f704ddf7a3c7219ea4e1d.png"/><Relationship Id="rId17" Type="http://schemas.openxmlformats.org/officeDocument/2006/relationships/image" Target="media/9cb4f8bbc5fb3144c7fa22871d812e0e847bd1cd.png"/><Relationship Id="rId18" Type="http://schemas.openxmlformats.org/officeDocument/2006/relationships/image" Target="media/f2f13caddfcb9784b7c8b799a38c89e46d1c7de7.png"/><Relationship Id="rId19" Type="http://schemas.openxmlformats.org/officeDocument/2006/relationships/image" Target="media/f97232dd725f92c083baa752804fd37c66635d46.png"/><Relationship Id="rId20" Type="http://schemas.openxmlformats.org/officeDocument/2006/relationships/image" Target="media/6714acb2ddd9648ffc8060348c8e3d7954902fa8.png"/><Relationship Id="rId21" Type="http://schemas.openxmlformats.org/officeDocument/2006/relationships/image" Target="media/0bedda97c8bcf2f89bad07d0dc0db15d8c2023a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2026-10-29T14:20:11.979Z</dcterms:created>
  <dcterms:modified xsi:type="dcterms:W3CDTF">2026-10-29T14:20:11.979Z</dcterms:modified>
</cp:coreProperties>
</file>

<file path=docProps/custom.xml><?xml version="1.0" encoding="utf-8"?>
<Properties xmlns="http://schemas.openxmlformats.org/officeDocument/2006/custom-properties" xmlns:vt="http://schemas.openxmlformats.org/officeDocument/2006/docPropsVTypes"/>
</file>