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rFonts w:ascii="Arial" w:cs="Arial" w:eastAsia="Arial" w:hAnsi="Arial"/>
          <w:b/>
          <w:bCs/>
          <w:sz w:val="28"/>
          <w:szCs w:val="28"/>
        </w:rPr>
        <w:t xml:space="preserve">NANYANG TECHNOLOGICAL UNIVERSITY</w:t>
      </w:r>
    </w:p>
    <w:p>
      <w:pPr>
        <w:spacing w:after="120"/>
        <w:jc w:val="center"/>
      </w:pPr>
      <w:r>
        <w:rPr>
          <w:rFonts w:ascii="Arial" w:cs="Arial" w:eastAsia="Arial" w:hAnsi="Arial"/>
          <w:sz w:val="24"/>
          <w:szCs w:val="24"/>
        </w:rPr>
        <w:t xml:space="preserve">School of Electrical and Electronic Engineering</w:t>
      </w:r>
    </w:p>
    <w:p>
      <w:pPr>
        <w:spacing w:before="600"/>
      </w:pPr>
    </w:p>
    <w:p>
      <w:pPr>
        <w:spacing w:after="120"/>
        <w:jc w:val="center"/>
      </w:pPr>
      <w:r>
        <w:rPr>
          <w:rFonts w:ascii="Arial" w:cs="Arial" w:eastAsia="Arial" w:hAnsi="Arial"/>
          <w:sz w:val="24"/>
          <w:szCs w:val="24"/>
        </w:rPr>
        <w:t xml:space="preserve">Final Year Project Interim Report</w:t>
      </w:r>
    </w:p>
    <w:p>
      <w:pPr>
        <w:spacing w:before="300"/>
      </w:pPr>
    </w:p>
    <w:p>
      <w:pPr>
        <w:spacing w:after="120"/>
        <w:jc w:val="center"/>
      </w:pPr>
      <w:r>
        <w:rPr>
          <w:rFonts w:ascii="Arial" w:cs="Arial" w:eastAsia="Arial" w:hAnsi="Arial"/>
          <w:b/>
          <w:bCs/>
          <w:sz w:val="34"/>
          <w:szCs w:val="34"/>
        </w:rPr>
        <w:t xml:space="preserve">Modular vs. End-to-End Vision-Language-Action Models</w:t>
      </w:r>
    </w:p>
    <w:p>
      <w:pPr>
        <w:spacing w:after="120"/>
        <w:jc w:val="center"/>
      </w:pPr>
      <w:r>
        <w:rPr>
          <w:rFonts w:ascii="Arial" w:cs="Arial" w:eastAsia="Arial" w:hAnsi="Arial"/>
          <w:b/>
          <w:bCs/>
          <w:sz w:val="34"/>
          <w:szCs w:val="34"/>
        </w:rPr>
        <w:t xml:space="preserve">for Embodied Robotic Manipulation</w:t>
      </w:r>
    </w:p>
    <w:p>
      <w:pPr>
        <w:spacing w:before="90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none"/>
              <w:left w:val="none"/>
              <w:bottom w:val="none"/>
              <w:right w:val="none"/>
            </w:tcBorders>
          </w:tcPr>
          <w:p>
            <w:r>
              <w:rPr>
                <w:rFonts w:ascii="Arial" w:cs="Arial" w:eastAsia="Arial" w:hAnsi="Arial"/>
                <w:b/>
                <w:bCs/>
                <w:sz w:val="21"/>
                <w:szCs w:val="21"/>
              </w:rPr>
              <w:t xml:space="preserve">Project code</w:t>
            </w:r>
          </w:p>
        </w:tc>
        <w:tc>
          <w:tcPr>
            <w:tcW w:type="dxa" w:w="5400"/>
            <w:tcBorders>
              <w:top w:val="none"/>
              <w:left w:val="none"/>
              <w:bottom w:val="none"/>
              <w:right w:val="none"/>
            </w:tcBorders>
          </w:tcPr>
          <w:p>
            <w:r>
              <w:rPr>
                <w:rFonts w:ascii="Arial" w:cs="Arial" w:eastAsia="Arial" w:hAnsi="Arial"/>
                <w:sz w:val="21"/>
                <w:szCs w:val="21"/>
              </w:rPr>
              <w:t xml:space="preserve">A1005-261</w:t>
            </w:r>
          </w:p>
        </w:tc>
      </w:tr>
      <w:tr>
        <w:tc>
          <w:tcPr>
            <w:tcW w:type="dxa" w:w="2600"/>
            <w:tcBorders>
              <w:top w:val="none"/>
              <w:left w:val="none"/>
              <w:bottom w:val="none"/>
              <w:right w:val="none"/>
            </w:tcBorders>
          </w:tcPr>
          <w:p>
            <w:r>
              <w:rPr>
                <w:rFonts w:ascii="Arial" w:cs="Arial" w:eastAsia="Arial" w:hAnsi="Arial"/>
                <w:b/>
                <w:bCs/>
                <w:sz w:val="21"/>
                <w:szCs w:val="21"/>
              </w:rPr>
              <w:t xml:space="preserve">Student</w:t>
            </w:r>
          </w:p>
        </w:tc>
        <w:tc>
          <w:tcPr>
            <w:tcW w:type="dxa" w:w="5400"/>
            <w:tcBorders>
              <w:top w:val="none"/>
              <w:left w:val="none"/>
              <w:bottom w:val="none"/>
              <w:right w:val="none"/>
            </w:tcBorders>
          </w:tcPr>
          <w:p>
            <w:r>
              <w:rPr>
                <w:rFonts w:ascii="Arial" w:cs="Arial" w:eastAsia="Arial" w:hAnsi="Arial"/>
                <w:sz w:val="21"/>
                <w:szCs w:val="21"/>
              </w:rPr>
              <w:t xml:space="preserve">Tay Juen Jie</w:t>
            </w:r>
          </w:p>
        </w:tc>
      </w:tr>
      <w:tr>
        <w:tc>
          <w:tcPr>
            <w:tcW w:type="dxa" w:w="2600"/>
            <w:tcBorders>
              <w:top w:val="none"/>
              <w:left w:val="none"/>
              <w:bottom w:val="none"/>
              <w:right w:val="none"/>
            </w:tcBorders>
          </w:tcPr>
          <w:p>
            <w:r>
              <w:rPr>
                <w:rFonts w:ascii="Arial" w:cs="Arial" w:eastAsia="Arial" w:hAnsi="Arial"/>
                <w:b/>
                <w:bCs/>
                <w:sz w:val="21"/>
                <w:szCs w:val="21"/>
              </w:rPr>
              <w:t xml:space="preserve">Matriculation no.</w:t>
            </w:r>
          </w:p>
        </w:tc>
        <w:tc>
          <w:tcPr>
            <w:tcW w:type="dxa" w:w="5400"/>
            <w:tcBorders>
              <w:top w:val="none"/>
              <w:left w:val="none"/>
              <w:bottom w:val="none"/>
              <w:right w:val="none"/>
            </w:tcBorders>
          </w:tcPr>
          <w:p>
            <w:r>
              <w:rPr>
                <w:rFonts w:ascii="Arial" w:cs="Arial" w:eastAsia="Arial" w:hAnsi="Arial"/>
                <w:sz w:val="21"/>
                <w:szCs w:val="21"/>
              </w:rPr>
              <w:t xml:space="preserve">U2322880A</w:t>
            </w:r>
          </w:p>
        </w:tc>
      </w:tr>
      <w:tr>
        <w:tc>
          <w:tcPr>
            <w:tcW w:type="dxa" w:w="2600"/>
            <w:tcBorders>
              <w:top w:val="none"/>
              <w:left w:val="none"/>
              <w:bottom w:val="none"/>
              <w:right w:val="none"/>
            </w:tcBorders>
          </w:tcPr>
          <w:p>
            <w:r>
              <w:rPr>
                <w:rFonts w:ascii="Arial" w:cs="Arial" w:eastAsia="Arial" w:hAnsi="Arial"/>
                <w:b/>
                <w:bCs/>
                <w:sz w:val="21"/>
                <w:szCs w:val="21"/>
              </w:rPr>
              <w:t xml:space="preserve">Supervisor</w:t>
            </w:r>
          </w:p>
        </w:tc>
        <w:tc>
          <w:tcPr>
            <w:tcW w:type="dxa" w:w="5400"/>
            <w:tcBorders>
              <w:top w:val="none"/>
              <w:left w:val="none"/>
              <w:bottom w:val="none"/>
              <w:right w:val="none"/>
            </w:tcBorders>
          </w:tcPr>
          <w:p>
            <w:r>
              <w:rPr>
                <w:rFonts w:ascii="Arial" w:cs="Arial" w:eastAsia="Arial" w:hAnsi="Arial"/>
                <w:sz w:val="21"/>
                <w:szCs w:val="21"/>
              </w:rPr>
              <w:t xml:space="preserve">Assoc Prof Cheah Chien Chern</w:t>
            </w:r>
          </w:p>
        </w:tc>
      </w:tr>
      <w:tr>
        <w:tc>
          <w:tcPr>
            <w:tcW w:type="dxa" w:w="2600"/>
            <w:tcBorders>
              <w:top w:val="none"/>
              <w:left w:val="none"/>
              <w:bottom w:val="none"/>
              <w:right w:val="none"/>
            </w:tcBorders>
          </w:tcPr>
          <w:p>
            <w:r>
              <w:rPr>
                <w:rFonts w:ascii="Arial" w:cs="Arial" w:eastAsia="Arial" w:hAnsi="Arial"/>
                <w:b/>
                <w:bCs/>
                <w:sz w:val="21"/>
                <w:szCs w:val="21"/>
              </w:rPr>
              <w:t xml:space="preserve">Laboratory</w:t>
            </w:r>
          </w:p>
        </w:tc>
        <w:tc>
          <w:tcPr>
            <w:tcW w:type="dxa" w:w="5400"/>
            <w:tcBorders>
              <w:top w:val="none"/>
              <w:left w:val="none"/>
              <w:bottom w:val="none"/>
              <w:right w:val="none"/>
            </w:tcBorders>
          </w:tcPr>
          <w:p>
            <w:r>
              <w:rPr>
                <w:rFonts w:ascii="Arial" w:cs="Arial" w:eastAsia="Arial" w:hAnsi="Arial"/>
                <w:sz w:val="21"/>
                <w:szCs w:val="21"/>
              </w:rPr>
              <w:t xml:space="preserve">Robotics I (S2-B6a-01)</w:t>
            </w:r>
          </w:p>
        </w:tc>
      </w:tr>
      <w:tr>
        <w:tc>
          <w:tcPr>
            <w:tcW w:type="dxa" w:w="2600"/>
            <w:tcBorders>
              <w:top w:val="none"/>
              <w:left w:val="none"/>
              <w:bottom w:val="none"/>
              <w:right w:val="none"/>
            </w:tcBorders>
          </w:tcPr>
          <w:p>
            <w:r>
              <w:rPr>
                <w:rFonts w:ascii="Arial" w:cs="Arial" w:eastAsia="Arial" w:hAnsi="Arial"/>
                <w:b/>
                <w:bCs/>
                <w:sz w:val="21"/>
                <w:szCs w:val="21"/>
              </w:rPr>
              <w:t xml:space="preserve">Date</w:t>
            </w:r>
          </w:p>
        </w:tc>
        <w:tc>
          <w:tcPr>
            <w:tcW w:type="dxa" w:w="5400"/>
            <w:tcBorders>
              <w:top w:val="none"/>
              <w:left w:val="none"/>
              <w:bottom w:val="none"/>
              <w:right w:val="none"/>
            </w:tcBorders>
          </w:tcPr>
          <w:p>
            <w:r>
              <w:rPr>
                <w:rFonts w:ascii="Arial" w:cs="Arial" w:eastAsia="Arial" w:hAnsi="Arial"/>
                <w:sz w:val="21"/>
                <w:szCs w:val="21"/>
              </w:rPr>
              <w:t xml:space="preserve">10 November 2026</w:t>
            </w:r>
          </w:p>
        </w:tc>
      </w:tr>
    </w:tbl>
    <w:p>
      <w:r>
        <w:br w:type="page"/>
      </w:r>
    </w:p>
    <w:p>
      <w:pPr>
        <w:sectPr>
          <w:pgSz w:w="11906" w:h="16838" w:orient="portrait"/>
          <w:pgMar w:top="1440" w:right="1440" w:bottom="1440" w:left="1440" w:header="708" w:footer="708" w:gutter="0"/>
          <w:pgNumType/>
          <w:docGrid w:linePitch="360"/>
        </w:sectPr>
      </w:pPr>
    </w:p>
    <w:p>
      <w:pPr>
        <w:pStyle w:val="Heading1"/>
      </w:pPr>
      <w:r>
        <w:t xml:space="preserve">1. Introduction</w:t>
      </w:r>
    </w:p>
    <w:p>
      <w:pPr>
        <w:pStyle w:val="Heading2"/>
      </w:pPr>
      <w:r>
        <w:t xml:space="preserve">1.1 Background</w:t>
      </w:r>
    </w:p>
    <w:p>
      <w:pPr>
        <w:spacing w:after="120" w:line="264"/>
        <w:jc w:val="both"/>
      </w:pPr>
      <w:r>
        <w:t xml:space="preserve">A person should be able to tell a robot arm what to do in plain speech. Two families of systems now try to do this. The modular family puts a large language model (LLM) in front of pretrained perception and scripted motion primitives [2]. The end-to-end family trains one vision-language-action (VLA) model that maps camera images, robot state and an instruction straight to motion [6].</w:t>
      </w:r>
    </w:p>
    <w:p>
      <w:pPr>
        <w:spacing w:after="120" w:line="264"/>
        <w:jc w:val="both"/>
      </w:pPr>
      <w:r>
        <w:t xml:space="preserve">Each family reports results on its own robot, tasks and data, so a reader cannot tell how much of a difference comes from the architecture. Shan and Cheah [1] built a modular LLM system on a UR5e for power cable manipulation. They argue that the modular design gives flexibility beyond a single VLA model. No VLA model was run as a baseline in that work, so the claim is still untested. This project tests it on real hardware.</w:t>
      </w:r>
    </w:p>
    <w:p>
      <w:pPr>
        <w:pStyle w:val="Heading2"/>
      </w:pPr>
      <w:r>
        <w:t xml:space="preserve">1.2 Aim</w:t>
      </w:r>
    </w:p>
    <w:p>
      <w:pPr>
        <w:spacing w:after="120" w:line="264"/>
        <w:jc w:val="both"/>
      </w:pPr>
      <w:r>
        <w:t xml:space="preserve">The aim is to compare a modular LLM pipeline (Architecture A) with an end-to-end VLA model (Architecture B) on the same UR5e cell. The user speaks a command, for example </w:t>
      </w:r>
      <w:r>
        <w:rPr>
          <w:i/>
          <w:iCs/>
        </w:rPr>
        <w:t xml:space="preserve">"place that orange into that red container"</w:t>
      </w:r>
      <w:r>
        <w:t xml:space="preserve">, and the arm carries it out. The deliverable is the comparison. It reports where each architecture succeeds, how each fails, and what each costs in data, compute, money and engineering effort.</w:t>
      </w:r>
    </w:p>
    <w:p>
      <w:pPr>
        <w:pStyle w:val="Heading2"/>
      </w:pPr>
      <w:r>
        <w:t xml:space="preserve">1.3 Objectives</w:t>
      </w:r>
    </w:p>
    <w:p>
      <w:pPr>
        <w:spacing w:after="120" w:line="264"/>
        <w:jc w:val="both"/>
      </w:pPr>
      <w:r>
        <w:t xml:space="preserve">Each objective has a condition that can be checked. Table 1 lists them with their status on 29 October 2026.</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600"/>
        <w:gridCol w:w="2000"/>
        <w:gridCol w:w="3200"/>
        <w:gridCol w:w="3226"/>
      </w:tblGrid>
      <w:tr>
        <w:trPr>
          <w:cantSplit/>
          <w:tblHeader/>
        </w:trPr>
        <w:tc>
          <w:tcPr>
            <w:tcW w:type="dxa" w:w="6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ID</w:t>
            </w:r>
          </w:p>
        </w:tc>
        <w:tc>
          <w:tcPr>
            <w:tcW w:type="dxa" w:w="20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Objective</w:t>
            </w:r>
          </w:p>
        </w:tc>
        <w:tc>
          <w:tcPr>
            <w:tcW w:type="dxa" w:w="32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Done when</w:t>
            </w:r>
          </w:p>
        </w:tc>
        <w:tc>
          <w:tcPr>
            <w:tcW w:type="dxa" w:w="3226"/>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Status</w:t>
            </w:r>
          </w:p>
        </w:tc>
      </w:tr>
      <w:tr>
        <w:trPr>
          <w:cantSplit/>
        </w:trPr>
        <w:tc>
          <w:tcPr>
            <w:tcW w:type="dxa" w:w="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T1</w:t>
            </w:r>
          </w:p>
        </w:tc>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Calibrated cell</w:t>
            </w:r>
          </w:p>
        </w:tc>
        <w:tc>
          <w:tcPr>
            <w:tcW w:type="dxa" w:w="3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Camera to base transform fitted, then checked by a reach test, with the error in mm</w:t>
            </w:r>
          </w:p>
        </w:tc>
        <w:tc>
          <w:tcPr>
            <w:tcW w:type="dxa" w:w="32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Done 21 Oct 2026. Reach error 2 to 7 mm after correction (Section 4.5)</w:t>
            </w:r>
          </w:p>
        </w:tc>
      </w:tr>
      <w:tr>
        <w:trPr>
          <w:cantSplit/>
        </w:trPr>
        <w:tc>
          <w:tcPr>
            <w:tcW w:type="dxa" w:w="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T2</w:t>
            </w:r>
          </w:p>
        </w:tc>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Architecture A on Tier 0</w:t>
            </w:r>
          </w:p>
        </w:tc>
        <w:tc>
          <w:tcPr>
            <w:tcW w:type="dxa" w:w="3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At least 70% success over 20 trials, spoken input</w:t>
            </w:r>
          </w:p>
        </w:tc>
        <w:tc>
          <w:tcPr>
            <w:tcW w:type="dxa" w:w="32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First full pick and place on 21 Oct 2026. 20-trial run planned for December 2026</w:t>
            </w:r>
          </w:p>
        </w:tc>
      </w:tr>
      <w:tr>
        <w:trPr>
          <w:cantSplit/>
        </w:trPr>
        <w:tc>
          <w:tcPr>
            <w:tcW w:type="dxa" w:w="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T3</w:t>
            </w:r>
          </w:p>
        </w:tc>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Demonstration dataset</w:t>
            </w:r>
          </w:p>
        </w:tc>
        <w:tc>
          <w:tcPr>
            <w:tcW w:type="dxa" w:w="3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At least 50 real episodes per task that load in LeRobot</w:t>
            </w:r>
          </w:p>
        </w:tc>
        <w:tc>
          <w:tcPr>
            <w:tcW w:type="dxa" w:w="32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Recorder and exporter written. Recording starts after the exams</w:t>
            </w:r>
          </w:p>
        </w:tc>
      </w:tr>
      <w:tr>
        <w:trPr>
          <w:cantSplit/>
        </w:trPr>
        <w:tc>
          <w:tcPr>
            <w:tcW w:type="dxa" w:w="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T4</w:t>
            </w:r>
          </w:p>
        </w:tc>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Architecture B on Tier 0</w:t>
            </w:r>
          </w:p>
        </w:tc>
        <w:tc>
          <w:tcPr>
            <w:tcW w:type="dxa" w:w="3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At least 50% success over 20 trials, behind the safety envelope</w:t>
            </w:r>
          </w:p>
        </w:tc>
        <w:tc>
          <w:tcPr>
            <w:tcW w:type="dxa" w:w="32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Robot side written. Training starts in January 2027</w:t>
            </w:r>
          </w:p>
        </w:tc>
      </w:tr>
      <w:tr>
        <w:trPr>
          <w:cantSplit/>
        </w:trPr>
        <w:tc>
          <w:tcPr>
            <w:tcW w:type="dxa" w:w="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T5</w:t>
            </w:r>
          </w:p>
        </w:tc>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Evaluation harness</w:t>
            </w:r>
          </w:p>
        </w:tc>
        <w:tc>
          <w:tcPr>
            <w:tcW w:type="dxa" w:w="3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Frozen task suite, per-trial log, imports neither architecture</w:t>
            </w:r>
          </w:p>
        </w:tc>
        <w:tc>
          <w:tcPr>
            <w:tcW w:type="dxa" w:w="32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Done 11 Aug 2026</w:t>
            </w:r>
          </w:p>
        </w:tc>
      </w:tr>
      <w:tr>
        <w:trPr>
          <w:cantSplit/>
        </w:trPr>
        <w:tc>
          <w:tcPr>
            <w:tcW w:type="dxa" w:w="6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T6</w:t>
            </w:r>
          </w:p>
        </w:tc>
        <w:tc>
          <w:tcPr>
            <w:tcW w:type="dxa" w:w="20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Comparison result</w:t>
            </w:r>
          </w:p>
        </w:tc>
        <w:tc>
          <w:tcPr>
            <w:tcW w:type="dxa" w:w="32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Both architectures run through the harness on every attempted tier</w:t>
            </w:r>
          </w:p>
        </w:tc>
        <w:tc>
          <w:tcPr>
            <w:tcW w:type="dxa" w:w="3226"/>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Planned for February 2027</w:t>
            </w:r>
          </w:p>
        </w:tc>
      </w:tr>
    </w:tbl>
    <w:p>
      <w:pPr>
        <w:spacing w:after="240" w:before="80"/>
        <w:jc w:val="both"/>
      </w:pPr>
      <w:r>
        <w:rPr>
          <w:rFonts w:ascii="Arial" w:cs="Arial" w:eastAsia="Arial" w:hAnsi="Arial"/>
          <w:b/>
          <w:bCs/>
          <w:sz w:val="18"/>
          <w:szCs w:val="18"/>
        </w:rPr>
        <w:t xml:space="preserve">Table 1. </w:t>
      </w:r>
      <w:r>
        <w:rPr>
          <w:rFonts w:ascii="Arial" w:cs="Arial" w:eastAsia="Arial" w:hAnsi="Arial"/>
          <w:sz w:val="18"/>
          <w:szCs w:val="18"/>
        </w:rPr>
        <w:t xml:space="preserve">Technical objectives and their status.</w:t>
      </w:r>
    </w:p>
    <w:p>
      <w:pPr>
        <w:pStyle w:val="Heading2"/>
      </w:pPr>
      <w:r>
        <w:t xml:space="preserve">1.4 Scope</w:t>
      </w:r>
    </w:p>
    <w:p>
      <w:pPr>
        <w:spacing w:after="120" w:line="264"/>
        <w:jc w:val="both"/>
      </w:pPr>
      <w:r>
        <w:t xml:space="preserve">Every result comes from the real UR5e. Simulation was used only as scaffolding before the semester, and no simulated result is reported. Mobile manipulation, multiple arms, learned grasp planning, training a VLA from scratch and training a speech model are out of scope. Speech recognition is an off-the-shelf model used as it is.</w:t>
      </w:r>
    </w:p>
    <w:p>
      <w:pPr>
        <w:pStyle w:val="Heading2"/>
      </w:pPr>
      <w:r>
        <w:t xml:space="preserve">1.5 Purpose of this report</w:t>
      </w:r>
    </w:p>
    <w:p>
      <w:pPr>
        <w:spacing w:after="120" w:line="264"/>
        <w:jc w:val="both"/>
      </w:pPr>
      <w:r>
        <w:t xml:space="preserve">This report records the work of Semester 1 and the plan for Semester 2. Architecture B is reported as a plan, because its demonstrations are recorded after the exams.</w:t>
      </w:r>
    </w:p>
    <w:p>
      <w:pPr>
        <w:pStyle w:val="Heading1"/>
      </w:pPr>
      <w:r>
        <w:t xml:space="preserve">2. Related Work</w:t>
      </w:r>
    </w:p>
    <w:p>
      <w:pPr>
        <w:spacing w:after="120" w:line="264"/>
        <w:jc w:val="both"/>
      </w:pPr>
      <w:r>
        <w:t xml:space="preserve">Table 2 places this project among the works it builds on. Code as Policies [2] marks where the project is today, since a language model composes pretrained perception and scripted motion with nothing trained. AgenticLab [4] is the closest work to the completed project. It runs a vision-language agent on a UR5e in a closed loop of grounding, planning, execution, verification and replanning. It also compares its agent with a π0.5 VLA fine-tuned on 30 to 40 demonstrations, and the VLA often grasped the wrong object. That comparison is one experiment in a benchmark of agents. This project makes it the main study, with a frozen protocol, tiers for ambiguity and for mid-task change, a stage for every failure, and the cost of each side.</w:t>
      </w:r>
    </w:p>
    <w:p>
      <w:pPr>
        <w:spacing w:after="120" w:line="264"/>
        <w:jc w:val="both"/>
      </w:pPr>
      <w:r>
        <w:t xml:space="preserve">Two works frame the ambiguity experiment. KnowNo [3] showed that an LLM planner can tell when it is unsure and ask a person for help. This project does not claim the idea of asking. It measures the cost of not asking, because Architecture B has no output that can form a question. BayesianVLA [5] gives published evidence for what B will do instead. Its authors found that VLA models often learn a shortcut from the image alone and ignore the instruction, and that this fails when one scene fits several tasks, as in Tier 2.</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00"/>
        <w:gridCol w:w="3600"/>
        <w:gridCol w:w="3726"/>
      </w:tblGrid>
      <w:tr>
        <w:trPr>
          <w:cantSplit/>
          <w:tblHeader/>
        </w:trPr>
        <w:tc>
          <w:tcPr>
            <w:tcW w:type="dxa" w:w="17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Work</w:t>
            </w:r>
          </w:p>
        </w:tc>
        <w:tc>
          <w:tcPr>
            <w:tcW w:type="dxa" w:w="36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What it does</w:t>
            </w:r>
          </w:p>
        </w:tc>
        <w:tc>
          <w:tcPr>
            <w:tcW w:type="dxa" w:w="3726"/>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Limitation or role for this project</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Shan and Cheah [1]</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GPT-4o agent with a bank of five skills on a UR5e, applied to power cable manipulation</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Claims modular flexibility beyond a VLA, but runs no VLA baseline. Closed-vocabulary detector trained on 30 images</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Code as Policies [2]</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An LLM writes programs that call perception and control functions</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No training needed. The current stage of Architecture A</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KnowNo [3]</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Conformal prediction tells an LLM planner when to ask for help</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Credits prior work on asking. This project measures the cost of not asking</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AgenticLab [4]</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Closed-loop vision-language agent on a UR5e. Also beats a fine-tuned π0.5 VLA on two tasks</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Closest work to the completed project. Its VLA test is a side experiment, while here the comparison is the main study</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BayesianVLA [5]</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Shows VLAs can ignore the instruction and act on the image alone</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Backs the prediction for B in the ambiguous tier</w:t>
            </w:r>
          </w:p>
        </w:tc>
      </w:tr>
      <w:tr>
        <w:trPr>
          <w:cantSplit/>
        </w:trPr>
        <w:tc>
          <w:tcPr>
            <w:tcW w:type="dxa" w:w="17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SmolVLA [6]</w:t>
            </w:r>
          </w:p>
        </w:tc>
        <w:tc>
          <w:tcPr>
            <w:tcW w:type="dxa" w:w="36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Compact VLA of about 450 million parameters that outputs chunks of 50 actions</w:t>
            </w:r>
          </w:p>
        </w:tc>
        <w:tc>
          <w:tcPr>
            <w:tcW w:type="dxa" w:w="3726"/>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The model fine-tuned for Architecture B</w:t>
            </w:r>
          </w:p>
        </w:tc>
      </w:tr>
    </w:tbl>
    <w:p>
      <w:pPr>
        <w:spacing w:after="240" w:before="80"/>
        <w:jc w:val="both"/>
      </w:pPr>
      <w:r>
        <w:rPr>
          <w:rFonts w:ascii="Arial" w:cs="Arial" w:eastAsia="Arial" w:hAnsi="Arial"/>
          <w:b/>
          <w:bCs/>
          <w:sz w:val="18"/>
          <w:szCs w:val="18"/>
        </w:rPr>
        <w:t xml:space="preserve">Table 2. </w:t>
      </w:r>
      <w:r>
        <w:rPr>
          <w:rFonts w:ascii="Arial" w:cs="Arial" w:eastAsia="Arial" w:hAnsi="Arial"/>
          <w:sz w:val="18"/>
          <w:szCs w:val="18"/>
        </w:rPr>
        <w:t xml:space="preserve">Related works and how this project uses them.</w:t>
      </w:r>
    </w:p>
    <w:p>
      <w:pPr>
        <w:pStyle w:val="Heading1"/>
      </w:pPr>
      <w:r>
        <w:t xml:space="preserve">3. Method: A Fair Comparison</w:t>
      </w:r>
    </w:p>
    <w:p>
      <w:pPr>
        <w:pStyle w:val="Heading2"/>
      </w:pPr>
      <w:r>
        <w:t xml:space="preserve">3.1 System overview</w:t>
      </w:r>
    </w:p>
    <w:p>
      <w:pPr>
        <w:spacing w:after="120" w:line="264"/>
        <w:jc w:val="both"/>
      </w:pPr>
      <w:r>
        <w:t xml:space="preserve">Figure 1 shows both architectures on one cell. A shared speech front end, faster-whisper large-v3 behind push-to-talk, turns the spoken command into one transcript. Both architectures receive that same transcript. Architecture A is an LLM agent, Claude Sonnet 5.5, that loops through planning, perceiving and acting with one tool per turn. Its perception chain is OWLv2 [7] for open-vocabulary detection, SAM [8] for an object mask, and depth from the fixed camera for a 3D point in the robot base frame. Architecture B is SmolVLA [6]. An encoder path reads two camera views, the robot state and the transcript, and a flow-matching path turns noise into a chunk of 50 small changes of the tool pose. Both send every motion through the same safety envelope and the same controller. A snowflake marks a pretrained part used as it is. A flame marks a part trained on our demonstrations, and only Architecture B has one.</w:t>
      </w:r>
    </w:p>
    <w:p>
      <w:pPr>
        <w:sectPr>
          <w:headerReference w:type="default" r:id="rId7"/>
          <w:footerReference w:type="default" r:id="rId8"/>
          <w:pgSz w:w="11906" w:h="16838" w:orient="portrait"/>
          <w:pgMar w:top="1440" w:right="1440" w:bottom="1440" w:left="1440" w:header="708" w:footer="708" w:gutter="0"/>
          <w:pgNumType w:start="1"/>
          <w:docGrid w:linePitch="360"/>
        </w:sectPr>
      </w:pPr>
    </w:p>
    <w:p>
      <w:pPr>
        <w:keepNext/>
        <w:spacing w:after="60" w:before="120"/>
        <w:jc w:val="center"/>
      </w:pPr>
      <w:r>
        <w:drawing>
          <wp:inline distT="0" distB="0" distL="0" distR="0">
            <wp:extent cx="9144000" cy="5895975"/>
            <wp:effectExtent t="0" r="0" b="0" l="0"/>
            <wp:docPr id="1" name="full.png" descr="Both architectures on the same cell. (a) One speech front end gives both the same transcript. (b) Architecture A loops through planning, perceiving and acting, one tool per turn. (c) Architecture B runs an encoder path and a flow-matching path to output an action chunk. (d) Both pass through the same envelope and controll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0" cy="5895975"/>
                    </a:xfrm>
                    <a:prstGeom prst="rect">
                      <a:avLst/>
                    </a:prstGeom>
                  </pic:spPr>
                </pic:pic>
              </a:graphicData>
            </a:graphic>
          </wp:inline>
        </w:drawing>
      </w:r>
    </w:p>
    <w:p>
      <w:pPr>
        <w:spacing w:after="240" w:before="80"/>
        <w:jc w:val="both"/>
      </w:pPr>
      <w:r>
        <w:rPr>
          <w:rFonts w:ascii="Arial" w:cs="Arial" w:eastAsia="Arial" w:hAnsi="Arial"/>
          <w:b/>
          <w:bCs/>
          <w:sz w:val="18"/>
          <w:szCs w:val="18"/>
        </w:rPr>
        <w:t xml:space="preserve">Figure 1. </w:t>
      </w:r>
      <w:r>
        <w:rPr>
          <w:rFonts w:ascii="Arial" w:cs="Arial" w:eastAsia="Arial" w:hAnsi="Arial"/>
          <w:sz w:val="18"/>
          <w:szCs w:val="18"/>
        </w:rPr>
        <w:t xml:space="preserve">Both architectures on the same cell. (a) One speech front end gives both the same transcript. (b) Architecture A loops through planning, perceiving and acting, one tool per turn. (c) Architecture B runs an encoder path and a flow-matching path to output an action chunk. (d) Both pass through the same envelope and controller.</w:t>
      </w:r>
    </w:p>
    <w:p>
      <w:pPr>
        <w:sectPr>
          <w:headerReference w:type="default" r:id="rId9"/>
          <w:footerReference w:type="default" r:id="rId10"/>
          <w:pgSz w:w="16838" w:h="11906" w:orient="landscape"/>
          <w:pgMar w:top="800" w:right="720" w:bottom="800" w:left="720" w:header="400" w:footer="400" w:gutter="0"/>
          <w:pgNumType/>
          <w:docGrid w:linePitch="360"/>
        </w:sectPr>
      </w:pPr>
    </w:p>
    <w:p>
      <w:pPr>
        <w:pStyle w:val="Heading2"/>
      </w:pPr>
      <w:r>
        <w:t xml:space="preserve">3.2 Fairness in comparison</w:t>
      </w:r>
    </w:p>
    <w:p>
      <w:pPr>
        <w:spacing w:after="120" w:line="264"/>
        <w:jc w:val="both"/>
      </w:pPr>
      <w:r>
        <w:t xml:space="preserve">The result is only worth something if both architectures get the same problem. Five things are held the same, and each is enforced in code (Table 3).</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00"/>
        <w:gridCol w:w="3600"/>
        <w:gridCol w:w="3726"/>
      </w:tblGrid>
      <w:tr>
        <w:trPr>
          <w:cantSplit/>
          <w:tblHeader/>
        </w:trPr>
        <w:tc>
          <w:tcPr>
            <w:tcW w:type="dxa" w:w="17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Control</w:t>
            </w:r>
          </w:p>
        </w:tc>
        <w:tc>
          <w:tcPr>
            <w:tcW w:type="dxa" w:w="36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What is the same</w:t>
            </w:r>
          </w:p>
        </w:tc>
        <w:tc>
          <w:tcPr>
            <w:tcW w:type="dxa" w:w="3726"/>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How it is enforced</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Same cell</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One UR5e, one OnRobot RG2 gripper, one fixed RGB-D camera, one table</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Every tunable value lives in one configuration file</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Same shared stages</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One speech front end, one controller, one safety envelope</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Code is shared only if both architectures use it at run time. A test checks the imports</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Same action space</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 change of tool pose in the base frame plus a gripper target, seven numbers</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B's step limit is derived from A's speed ceiling, and a test checks that they agree</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Same frozen tests</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Tiers, spoken commands, 20 layouts and success rules, written before tuning</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The suite file is frozen. Any change gets a dated entry in its changelog and is declared in the report</w:t>
            </w:r>
          </w:p>
        </w:tc>
      </w:tr>
      <w:tr>
        <w:trPr>
          <w:cantSplit/>
        </w:trPr>
        <w:tc>
          <w:tcPr>
            <w:tcW w:type="dxa" w:w="17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Blind harness</w:t>
            </w:r>
          </w:p>
        </w:tc>
        <w:tc>
          <w:tcPr>
            <w:tcW w:type="dxa" w:w="36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Trials run through one call, run(instruction) to outcome</w:t>
            </w:r>
          </w:p>
        </w:tc>
        <w:tc>
          <w:tcPr>
            <w:tcW w:type="dxa" w:w="3726"/>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The harness imports neither architecture, and a test enforces it</w:t>
            </w:r>
          </w:p>
        </w:tc>
      </w:tr>
    </w:tbl>
    <w:p>
      <w:pPr>
        <w:spacing w:after="240" w:before="80"/>
        <w:jc w:val="both"/>
      </w:pPr>
      <w:r>
        <w:rPr>
          <w:rFonts w:ascii="Arial" w:cs="Arial" w:eastAsia="Arial" w:hAnsi="Arial"/>
          <w:b/>
          <w:bCs/>
          <w:sz w:val="18"/>
          <w:szCs w:val="18"/>
        </w:rPr>
        <w:t xml:space="preserve">Table 3. </w:t>
      </w:r>
      <w:r>
        <w:rPr>
          <w:rFonts w:ascii="Arial" w:cs="Arial" w:eastAsia="Arial" w:hAnsi="Arial"/>
          <w:sz w:val="18"/>
          <w:szCs w:val="18"/>
        </w:rPr>
        <w:t xml:space="preserve">The five controls that keep the comparison fair.</w:t>
      </w:r>
    </w:p>
    <w:p>
      <w:pPr>
        <w:pStyle w:val="Heading2"/>
      </w:pPr>
      <w:r>
        <w:t xml:space="preserve">3.3 Known differences</w:t>
      </w:r>
    </w:p>
    <w:p>
      <w:pPr>
        <w:spacing w:after="120" w:line="264"/>
        <w:jc w:val="both"/>
      </w:pPr>
      <w:r>
        <w:t xml:space="preserve">Two differences cannot be removed. Table 4 states them and how each is handled, so that a reader can weigh them.</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700"/>
        <w:gridCol w:w="3600"/>
        <w:gridCol w:w="3726"/>
      </w:tblGrid>
      <w:tr>
        <w:trPr>
          <w:cantSplit/>
          <w:tblHeader/>
        </w:trPr>
        <w:tc>
          <w:tcPr>
            <w:tcW w:type="dxa" w:w="17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Difference</w:t>
            </w:r>
          </w:p>
        </w:tc>
        <w:tc>
          <w:tcPr>
            <w:tcW w:type="dxa" w:w="36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Why it exists</w:t>
            </w:r>
          </w:p>
        </w:tc>
        <w:tc>
          <w:tcPr>
            <w:tcW w:type="dxa" w:w="3726"/>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How I handle it</w:t>
            </w:r>
          </w:p>
        </w:tc>
      </w:tr>
      <w:tr>
        <w:trPr>
          <w:cantSplit/>
        </w:trPr>
        <w:tc>
          <w:tcPr>
            <w:tcW w:type="dxa" w:w="1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Extra wrist camera</w:t>
            </w:r>
          </w:p>
        </w:tc>
        <w:tc>
          <w:tcPr>
            <w:tcW w:type="dxa" w:w="3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Reference SmolVLA setups use an overhead view plus a wrist view. A uses depth from the fixed camera, which B cannot read</w:t>
            </w:r>
          </w:p>
        </w:tc>
        <w:tc>
          <w:tcPr>
            <w:tcW w:type="dxa" w:w="37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Each side gets the sensors its design needs. Nothing depends on wrist depth, and the report states the bias</w:t>
            </w:r>
          </w:p>
        </w:tc>
      </w:tr>
      <w:tr>
        <w:trPr>
          <w:cantSplit/>
        </w:trPr>
        <w:tc>
          <w:tcPr>
            <w:tcW w:type="dxa" w:w="17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Prior knowledge vs demos</w:t>
            </w:r>
          </w:p>
        </w:tc>
        <w:tc>
          <w:tcPr>
            <w:tcW w:type="dxa" w:w="36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 carries knowledge in its pretrained LLM, its detector and its hand-written skills. B learns from about 50 demonstrations per task</w:t>
            </w:r>
          </w:p>
        </w:tc>
        <w:tc>
          <w:tcPr>
            <w:tcW w:type="dxa" w:w="3726"/>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Both costs are logged and shown side by side: A's hours, lines of code and API cost, and B's episodes, lab hours and GPU hours</w:t>
            </w:r>
          </w:p>
        </w:tc>
      </w:tr>
    </w:tbl>
    <w:p>
      <w:pPr>
        <w:spacing w:after="240" w:before="80"/>
        <w:jc w:val="both"/>
      </w:pPr>
      <w:r>
        <w:rPr>
          <w:rFonts w:ascii="Arial" w:cs="Arial" w:eastAsia="Arial" w:hAnsi="Arial"/>
          <w:b/>
          <w:bCs/>
          <w:sz w:val="18"/>
          <w:szCs w:val="18"/>
        </w:rPr>
        <w:t xml:space="preserve">Table 4. </w:t>
      </w:r>
      <w:r>
        <w:rPr>
          <w:rFonts w:ascii="Arial" w:cs="Arial" w:eastAsia="Arial" w:hAnsi="Arial"/>
          <w:sz w:val="18"/>
          <w:szCs w:val="18"/>
        </w:rPr>
        <w:t xml:space="preserve">Known differences between the architectures.</w:t>
      </w:r>
    </w:p>
    <w:p>
      <w:pPr>
        <w:pStyle w:val="Heading2"/>
      </w:pPr>
      <w:r>
        <w:t xml:space="preserve">3.4 Task suite and predictions</w:t>
      </w:r>
    </w:p>
    <w:p>
      <w:pPr>
        <w:spacing w:after="120" w:line="264"/>
        <w:jc w:val="both"/>
      </w:pPr>
      <w:r>
        <w:t xml:space="preserve">The task suite has five tiers (Table 5). Each architecture runs 20 trials per tier on the same 20 layouts in the same order. The spoken commands are scripted, and half of them are phrasings never used in training or in prompts. Each trial logs the transcript, so a speech error is never blamed on A or B.</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600"/>
        <w:gridCol w:w="1800"/>
        <w:gridCol w:w="3300"/>
        <w:gridCol w:w="3326"/>
      </w:tblGrid>
      <w:tr>
        <w:trPr>
          <w:cantSplit/>
          <w:tblHeader/>
        </w:trPr>
        <w:tc>
          <w:tcPr>
            <w:tcW w:type="dxa" w:w="6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Tier</w:t>
            </w:r>
          </w:p>
        </w:tc>
        <w:tc>
          <w:tcPr>
            <w:tcW w:type="dxa" w:w="18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Task</w:t>
            </w:r>
          </w:p>
        </w:tc>
        <w:tc>
          <w:tcPr>
            <w:tcW w:type="dxa" w:w="33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Example command</w:t>
            </w:r>
          </w:p>
        </w:tc>
        <w:tc>
          <w:tcPr>
            <w:tcW w:type="dxa" w:w="3326"/>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Prediction</w:t>
            </w:r>
          </w:p>
        </w:tc>
      </w:tr>
      <w:tr>
        <w:trPr>
          <w:cantSplit/>
        </w:trPr>
        <w:tc>
          <w:tcPr>
            <w:tcW w:type="dxa" w:w="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0</w:t>
            </w:r>
          </w:p>
        </w:tc>
        <w:tc>
          <w:tcPr>
            <w:tcW w:type="dxa" w:w="18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Static pick and place</w:t>
            </w:r>
          </w:p>
        </w:tc>
        <w:tc>
          <w:tcPr>
            <w:tcW w:type="dxa" w:w="33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"Place that orange into that red container"</w:t>
            </w:r>
          </w:p>
        </w:tc>
        <w:tc>
          <w:tcPr>
            <w:tcW w:type="dxa" w:w="33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Both succeed. Checks the wiring only</w:t>
            </w:r>
          </w:p>
        </w:tc>
      </w:tr>
      <w:tr>
        <w:trPr>
          <w:cantSplit/>
        </w:trPr>
        <w:tc>
          <w:tcPr>
            <w:tcW w:type="dxa" w:w="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1</w:t>
            </w:r>
          </w:p>
        </w:tc>
        <w:tc>
          <w:tcPr>
            <w:tcW w:type="dxa" w:w="18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Pouring</w:t>
            </w:r>
          </w:p>
        </w:tc>
        <w:tc>
          <w:tcPr>
            <w:tcW w:type="dxa" w:w="33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"Pour the orange juice into the glass"</w:t>
            </w:r>
          </w:p>
        </w:tc>
        <w:tc>
          <w:tcPr>
            <w:tcW w:type="dxa" w:w="33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 may win. The tilt is hard to script</w:t>
            </w:r>
          </w:p>
        </w:tc>
      </w:tr>
      <w:tr>
        <w:trPr>
          <w:cantSplit/>
        </w:trPr>
        <w:tc>
          <w:tcPr>
            <w:tcW w:type="dxa" w:w="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2</w:t>
            </w:r>
          </w:p>
        </w:tc>
        <w:tc>
          <w:tcPr>
            <w:tcW w:type="dxa" w:w="18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Ambiguous command</w:t>
            </w:r>
          </w:p>
        </w:tc>
        <w:tc>
          <w:tcPr>
            <w:tcW w:type="dxa" w:w="33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"Pour me a drink" with two drinks on the table</w:t>
            </w:r>
          </w:p>
        </w:tc>
        <w:tc>
          <w:tcPr>
            <w:tcW w:type="dxa" w:w="33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 should win. It can ask, and B falls back on its training data</w:t>
            </w:r>
          </w:p>
        </w:tc>
      </w:tr>
      <w:tr>
        <w:trPr>
          <w:cantSplit/>
        </w:trPr>
        <w:tc>
          <w:tcPr>
            <w:tcW w:type="dxa" w:w="6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3</w:t>
            </w:r>
          </w:p>
        </w:tc>
        <w:tc>
          <w:tcPr>
            <w:tcW w:type="dxa" w:w="18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Dynamic drawer</w:t>
            </w:r>
          </w:p>
        </w:tc>
        <w:tc>
          <w:tcPr>
            <w:tcW w:type="dxa" w:w="33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"Put the snack in the drawer", and a person closes the drawer mid-task</w:t>
            </w:r>
          </w:p>
        </w:tc>
        <w:tc>
          <w:tcPr>
            <w:tcW w:type="dxa" w:w="33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 may win. It reacts at 20 Hz without a plan</w:t>
            </w:r>
          </w:p>
        </w:tc>
      </w:tr>
      <w:tr>
        <w:trPr>
          <w:cantSplit/>
        </w:trPr>
        <w:tc>
          <w:tcPr>
            <w:tcW w:type="dxa" w:w="6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4</w:t>
            </w:r>
          </w:p>
        </w:tc>
        <w:tc>
          <w:tcPr>
            <w:tcW w:type="dxa" w:w="18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Generalisation</w:t>
            </w:r>
          </w:p>
        </w:tc>
        <w:tc>
          <w:tcPr>
            <w:tcW w:type="dxa" w:w="33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Objects and phrasings never seen before</w:t>
            </w:r>
          </w:p>
        </w:tc>
        <w:tc>
          <w:tcPr>
            <w:tcW w:type="dxa" w:w="3326"/>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 should win. Its detector is open-vocabulary</w:t>
            </w:r>
          </w:p>
        </w:tc>
      </w:tr>
    </w:tbl>
    <w:p>
      <w:pPr>
        <w:spacing w:after="240" w:before="80"/>
        <w:jc w:val="both"/>
      </w:pPr>
      <w:r>
        <w:rPr>
          <w:rFonts w:ascii="Arial" w:cs="Arial" w:eastAsia="Arial" w:hAnsi="Arial"/>
          <w:b/>
          <w:bCs/>
          <w:sz w:val="18"/>
          <w:szCs w:val="18"/>
        </w:rPr>
        <w:t xml:space="preserve">Table 5. </w:t>
      </w:r>
      <w:r>
        <w:rPr>
          <w:rFonts w:ascii="Arial" w:cs="Arial" w:eastAsia="Arial" w:hAnsi="Arial"/>
          <w:sz w:val="18"/>
          <w:szCs w:val="18"/>
        </w:rPr>
        <w:t xml:space="preserve">Task tiers and the prediction for each.</w:t>
      </w:r>
    </w:p>
    <w:p>
      <w:pPr>
        <w:spacing w:after="120" w:line="264"/>
        <w:jc w:val="both"/>
      </w:pPr>
      <w:r>
        <w:t xml:space="preserve">In short, A should win on ambiguity and on traceability. Every failure of A is logged against a stage, such as speech, grounding, detection, depth, transform, planning or execution. A failure of B has no stage to point to. B may win on motion that is hard to script, such as a pour or a drawer that closes again.</w:t>
      </w:r>
    </w:p>
    <w:p>
      <w:pPr>
        <w:pStyle w:val="Heading1"/>
      </w:pPr>
      <w:r>
        <w:t xml:space="preserve">4. Work Done So Far</w:t>
      </w:r>
    </w:p>
    <w:p>
      <w:pPr>
        <w:pStyle w:val="Heading2"/>
      </w:pPr>
      <w:r>
        <w:t xml:space="preserve">4.1 Before the semester</w:t>
      </w:r>
    </w:p>
    <w:p>
      <w:pPr>
        <w:spacing w:after="120" w:line="264"/>
        <w:jc w:val="both"/>
      </w:pPr>
      <w:r>
        <w:t xml:space="preserve">I started on this project on 28 June 2026, six weeks before the official start. That time went to the parts that need no lab access. I also completed the </w:t>
      </w:r>
      <w:r>
        <w:rPr>
          <w:b/>
          <w:bCs/>
        </w:rPr>
        <w:t xml:space="preserve">UR e-Series Core Track</w:t>
      </w:r>
      <w:r>
        <w:t xml:space="preserve"> from Universal Robots Academy, which covers the setup, programming and safety settings of e-Series arms such as the UR5e.</w:t>
      </w:r>
    </w:p>
    <w:p>
      <w:pPr>
        <w:spacing w:after="120" w:line="264"/>
        <w:jc w:val="both"/>
      </w:pPr>
      <w:r>
        <w:t xml:space="preserve">Two simulators served as scaffolding (Figure 2). URSim, the UR controller simulator, stood in for the arm while I wrote the control stack. This covered the RTDE and URScript interfaces, a custom RTDE recipe for joint logging, a dashboard client and the controller class. MuJoCo stood in for the cell while I wrote the data path: the demonstration recorder, the episode store, the converter to the LeRobot dataset format and the hand-eye module. OWL-ViT base gave correct boxes at a confidence near 0.008 with the wrong colour labels, so I chose OWLv2 instead. I also found that the recorder counted simulation steps instead of the clock and recorded at about 4 Hz. A wall-clock gate fixed it at 20 Hz. Both simulators were retired once the real cell was in reach.</w:t>
      </w:r>
    </w:p>
    <w:p>
      <w:pPr>
        <w:keepNext/>
        <w:spacing w:after="60" w:before="120"/>
        <w:jc w:val="center"/>
      </w:pPr>
      <w:r>
        <w:drawing>
          <wp:inline distT="0" distB="0" distL="0" distR="0">
            <wp:extent cx="4572000" cy="1771650"/>
            <wp:effectExtent t="0" r="0" b="0" l="0"/>
            <wp:docPr id="1" name="sim.png" descr="Simulation used before the semester. (a) MuJoCo with the UR5e and Robotiq 2F-85 models. (b) URSim running the PolyScope interfa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771650"/>
                    </a:xfrm>
                    <a:prstGeom prst="rect">
                      <a:avLst/>
                    </a:prstGeom>
                  </pic:spPr>
                </pic:pic>
              </a:graphicData>
            </a:graphic>
          </wp:inline>
        </w:drawing>
      </w:r>
    </w:p>
    <w:p>
      <w:pPr>
        <w:spacing w:after="240" w:before="80"/>
        <w:jc w:val="both"/>
      </w:pPr>
      <w:r>
        <w:rPr>
          <w:rFonts w:ascii="Arial" w:cs="Arial" w:eastAsia="Arial" w:hAnsi="Arial"/>
          <w:b/>
          <w:bCs/>
          <w:sz w:val="18"/>
          <w:szCs w:val="18"/>
        </w:rPr>
        <w:t xml:space="preserve">Figure 2. </w:t>
      </w:r>
      <w:r>
        <w:rPr>
          <w:rFonts w:ascii="Arial" w:cs="Arial" w:eastAsia="Arial" w:hAnsi="Arial"/>
          <w:sz w:val="18"/>
          <w:szCs w:val="18"/>
        </w:rPr>
        <w:t xml:space="preserve">Simulation used before the semester. (a) MuJoCo with the UR5e and Robotiq 2F-85 models. (b) URSim running the PolyScope interface.</w:t>
      </w:r>
    </w:p>
    <w:p>
      <w:pPr>
        <w:pStyle w:val="Heading2"/>
      </w:pPr>
      <w:r>
        <w:t xml:space="preserve">4.2 Software in Weeks 1 to 5</w:t>
      </w:r>
    </w:p>
    <w:p>
      <w:pPr>
        <w:spacing w:after="120" w:line="264"/>
        <w:jc w:val="both"/>
      </w:pPr>
      <w:r>
        <w:t xml:space="preserve">From 10 August to 13 September I split the code into Architecture A, Architecture B and a shared layer, with a test that guards the boundary. I wrote Architecture A in full, the speech front end, and the robot side of Architecture B on LeRobot's policy server and robot client. I froze the evaluation harness on 11 August, before either pipeline was tuned. The unit test suite now has 331 passing tests, and none of them needs the arm.</w:t>
      </w:r>
    </w:p>
    <w:p>
      <w:pPr>
        <w:pStyle w:val="Heading2"/>
      </w:pPr>
      <w:r>
        <w:t xml:space="preserve">4.3 Change to Architecture A</w:t>
      </w:r>
    </w:p>
    <w:p>
      <w:pPr>
        <w:spacing w:after="120" w:line="264"/>
        <w:jc w:val="both"/>
      </w:pPr>
      <w:r>
        <w:t xml:space="preserve">On 7 October 2026 I decided to change how Architecture A works. In the D1 design, A was a fixed pipeline with a planner at the end. It perceived the table once, and the LLM then planned every step before any step ran. A review of that design against the task suite found three problems.</w:t>
      </w:r>
    </w:p>
    <w:p>
      <w:pPr>
        <w:pStyle w:val="ListParagraph"/>
        <w:numPr>
          <w:ilvl w:val="0"/>
          <w:numId w:val="2"/>
        </w:numPr>
        <w:spacing w:after="60"/>
      </w:pPr>
      <w:r>
        <w:t xml:space="preserve">A clarification answer could not be acted on. After the user says "orange juice", the pipeline cannot look again for that object, because its word list was fixed at the start. This breaks Tier 2.</w:t>
      </w:r>
    </w:p>
    <w:p>
      <w:pPr>
        <w:pStyle w:val="ListParagraph"/>
        <w:numPr>
          <w:ilvl w:val="0"/>
          <w:numId w:val="2"/>
        </w:numPr>
        <w:spacing w:after="60"/>
      </w:pPr>
      <w:r>
        <w:t xml:space="preserve">The planner could chain several skills in one reply. It saw the result of a pick only after the place had already run.</w:t>
      </w:r>
    </w:p>
    <w:p>
      <w:pPr>
        <w:pStyle w:val="ListParagraph"/>
        <w:numPr>
          <w:ilvl w:val="0"/>
          <w:numId w:val="2"/>
        </w:numPr>
        <w:spacing w:after="60"/>
      </w:pPr>
      <w:r>
        <w:t xml:space="preserve">Nothing checked a step after it ran. A failed grasp went unnoticed, and Tier 3 needs exactly that check.</w:t>
      </w:r>
    </w:p>
    <w:p>
      <w:pPr>
        <w:spacing w:after="120" w:line="264"/>
        <w:jc w:val="both"/>
      </w:pPr>
      <w:r>
        <w:t xml:space="preserve">The reason for the change is the fairness of the result. A comparison is only as strong as its weaker side. Recent modular systems act one step at a time and verify each step [4]. If A stayed a dated pipeline, B could win against a weak baseline, and an examiner could dismiss the result for that reason. I made the change before any trial was recorded, so no result was lost.</w:t>
      </w:r>
    </w:p>
    <w:p>
      <w:pPr>
        <w:spacing w:after="120" w:line="264"/>
        <w:jc w:val="both"/>
      </w:pPr>
      <w:r>
        <w:t xml:space="preserve">The new A is a loop of plan, perceive and act, with one skill per turn (Figure 3). The table is perceived again before every planning turn, so each plan uses the current scene. Every pick and place is followed by an automatic camera check, and the result goes back to the planner. A rejected or failed step does not end the run, and the planner may retry within six turns. This version ran on the arm on 21 October 2026. It fixes the second and third problems. The first is only partly fixed, because the noun phrases are still chosen once at the start (Section 5.1).</w:t>
      </w:r>
    </w:p>
    <w:p>
      <w:pPr>
        <w:keepNext/>
        <w:spacing w:after="60" w:before="120"/>
        <w:jc w:val="center"/>
      </w:pPr>
      <w:r>
        <w:drawing>
          <wp:inline distT="0" distB="0" distL="0" distR="0">
            <wp:extent cx="5715000" cy="3762375"/>
            <wp:effectExtent t="0" r="0" b="0" l="0"/>
            <wp:docPr id="1" name="archa.png" descr="Architecture A, the version that ran on 21 October 2026. (a) Perception turns pixels into points in the robot base frame. (b) The planner calls one tool per turn, and each motion is check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62375"/>
                    </a:xfrm>
                    <a:prstGeom prst="rect">
                      <a:avLst/>
                    </a:prstGeom>
                  </pic:spPr>
                </pic:pic>
              </a:graphicData>
            </a:graphic>
          </wp:inline>
        </w:drawing>
      </w:r>
    </w:p>
    <w:p>
      <w:pPr>
        <w:spacing w:after="240" w:before="80"/>
        <w:jc w:val="both"/>
      </w:pPr>
      <w:r>
        <w:rPr>
          <w:rFonts w:ascii="Arial" w:cs="Arial" w:eastAsia="Arial" w:hAnsi="Arial"/>
          <w:b/>
          <w:bCs/>
          <w:sz w:val="18"/>
          <w:szCs w:val="18"/>
        </w:rPr>
        <w:t xml:space="preserve">Figure 3. </w:t>
      </w:r>
      <w:r>
        <w:rPr>
          <w:rFonts w:ascii="Arial" w:cs="Arial" w:eastAsia="Arial" w:hAnsi="Arial"/>
          <w:sz w:val="18"/>
          <w:szCs w:val="18"/>
        </w:rPr>
        <w:t xml:space="preserve">Architecture A, the version that ran on 21 October 2026. (a) Perception turns pixels into points in the robot base frame. (b) The planner calls one tool per turn, and each motion is checked.</w:t>
      </w:r>
    </w:p>
    <w:p>
      <w:pPr>
        <w:pStyle w:val="Heading2"/>
      </w:pPr>
      <w:r>
        <w:t xml:space="preserve">4.4 Grasp failures and diagnosis</w:t>
      </w:r>
    </w:p>
    <w:p>
      <w:pPr>
        <w:spacing w:after="120" w:line="264"/>
        <w:jc w:val="both"/>
      </w:pPr>
      <w:r>
        <w:t xml:space="preserve">The first picks on the real arm, on 1 and 13 October, all missed (Figure 4a). Three observations narrowed the search, and they pointed to two causes (Figure 5).</w:t>
      </w:r>
    </w:p>
    <w:p>
      <w:pPr>
        <w:pStyle w:val="ListParagraph"/>
        <w:numPr>
          <w:ilvl w:val="0"/>
          <w:numId w:val="3"/>
        </w:numPr>
        <w:spacing w:after="60"/>
      </w:pPr>
      <w:r>
        <w:rPr>
          <w:b/>
          <w:bCs/>
        </w:rPr>
        <w:t xml:space="preserve">The gripper closed behind the object.</w:t>
      </w:r>
      <w:r>
        <w:t xml:space="preserve"> The fingers came down past the far side of the orange.</w:t>
      </w:r>
    </w:p>
    <w:p>
      <w:pPr>
        <w:pStyle w:val="ListParagraph"/>
        <w:numPr>
          <w:ilvl w:val="0"/>
          <w:numId w:val="3"/>
        </w:numPr>
        <w:spacing w:after="60"/>
      </w:pPr>
      <w:r>
        <w:rPr>
          <w:b/>
          <w:bCs/>
        </w:rPr>
        <w:t xml:space="preserve">The misses were all similar.</w:t>
      </w:r>
      <w:r>
        <w:t xml:space="preserve"> A random error would scatter. A common offset points to a systematic error.</w:t>
      </w:r>
    </w:p>
    <w:p>
      <w:pPr>
        <w:pStyle w:val="ListParagraph"/>
        <w:numPr>
          <w:ilvl w:val="0"/>
          <w:numId w:val="3"/>
        </w:numPr>
        <w:spacing w:after="60"/>
      </w:pPr>
      <w:r>
        <w:rPr>
          <w:b/>
          <w:bCs/>
        </w:rPr>
        <w:t xml:space="preserve">The logs showed correct detections.</w:t>
      </w:r>
      <w:r>
        <w:t xml:space="preserve"> OWLv2 found the orange in the right place in the image, so the fault came after the detector.</w:t>
      </w:r>
    </w:p>
    <w:p>
      <w:pPr>
        <w:keepNext/>
        <w:spacing w:after="60" w:before="120"/>
        <w:jc w:val="center"/>
      </w:pPr>
      <w:r>
        <w:drawing>
          <wp:inline distT="0" distB="0" distL="0" distR="0">
            <wp:extent cx="4572000" cy="2600325"/>
            <wp:effectExtent t="0" r="0" b="0" l="0"/>
            <wp:docPr id="1" name="runs.png" descr="Runs on the real arm, from phone video. (a) A failed pick before the fixes: the fingers close behind the orange. (b) The full pick and place of 21 October 2026."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00325"/>
                    </a:xfrm>
                    <a:prstGeom prst="rect">
                      <a:avLst/>
                    </a:prstGeom>
                  </pic:spPr>
                </pic:pic>
              </a:graphicData>
            </a:graphic>
          </wp:inline>
        </w:drawing>
      </w:r>
    </w:p>
    <w:p>
      <w:pPr>
        <w:spacing w:after="240" w:before="80"/>
        <w:jc w:val="both"/>
      </w:pPr>
      <w:r>
        <w:rPr>
          <w:rFonts w:ascii="Arial" w:cs="Arial" w:eastAsia="Arial" w:hAnsi="Arial"/>
          <w:b/>
          <w:bCs/>
          <w:sz w:val="18"/>
          <w:szCs w:val="18"/>
        </w:rPr>
        <w:t xml:space="preserve">Figure 4. </w:t>
      </w:r>
      <w:r>
        <w:rPr>
          <w:rFonts w:ascii="Arial" w:cs="Arial" w:eastAsia="Arial" w:hAnsi="Arial"/>
          <w:sz w:val="18"/>
          <w:szCs w:val="18"/>
        </w:rPr>
        <w:t xml:space="preserve">Runs on the real arm, from phone video. (a) A failed pick before the fixes: the fingers close behind the orange. (b) The full pick and place of 21 October 2026.</w:t>
      </w:r>
    </w:p>
    <w:p>
      <w:pPr>
        <w:keepNext/>
        <w:spacing w:after="60" w:before="120"/>
        <w:jc w:val="center"/>
      </w:pPr>
      <w:r>
        <w:drawing>
          <wp:inline distT="0" distB="0" distL="0" distR="0">
            <wp:extent cx="5715000" cy="1447800"/>
            <wp:effectExtent t="0" r="0" b="0" l="0"/>
            <wp:docPr id="1" name="diag.png" descr="From observations to causes and fix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447800"/>
                    </a:xfrm>
                    <a:prstGeom prst="rect">
                      <a:avLst/>
                    </a:prstGeom>
                  </pic:spPr>
                </pic:pic>
              </a:graphicData>
            </a:graphic>
          </wp:inline>
        </w:drawing>
      </w:r>
    </w:p>
    <w:p>
      <w:pPr>
        <w:spacing w:after="240" w:before="80"/>
        <w:jc w:val="both"/>
      </w:pPr>
      <w:r>
        <w:rPr>
          <w:rFonts w:ascii="Arial" w:cs="Arial" w:eastAsia="Arial" w:hAnsi="Arial"/>
          <w:b/>
          <w:bCs/>
          <w:sz w:val="18"/>
          <w:szCs w:val="18"/>
        </w:rPr>
        <w:t xml:space="preserve">Figure 5. </w:t>
      </w:r>
      <w:r>
        <w:rPr>
          <w:rFonts w:ascii="Arial" w:cs="Arial" w:eastAsia="Arial" w:hAnsi="Arial"/>
          <w:sz w:val="18"/>
          <w:szCs w:val="18"/>
        </w:rPr>
        <w:t xml:space="preserve">From observations to causes and fixes.</w:t>
      </w:r>
    </w:p>
    <w:p>
      <w:pPr>
        <w:spacing w:after="120" w:line="264"/>
        <w:jc w:val="both"/>
      </w:pPr>
      <w:r>
        <w:rPr>
          <w:b/>
          <w:bCs/>
        </w:rPr>
        <w:t xml:space="preserve">Cause 1 was a wrong depth point.</w:t>
      </w:r>
      <w:r>
        <w:t xml:space="preserve"> The depth of the object was the average of the depth values inside the detection box. A round object does not fill its box, so the corners hold table pixels. With the camera looking down at an angle, those pixels lie farther away than the object. The average moved the 3D point along the camera ray to a spot behind the orange (Figure 6). </w:t>
      </w:r>
      <w:r>
        <w:rPr>
          <w:b/>
          <w:bCs/>
        </w:rPr>
        <w:t xml:space="preserve">Fix 1</w:t>
      </w:r>
      <w:r>
        <w:t xml:space="preserve"> uses SAM [8] to cut a mask of the object inside the box. The point now comes from the mask, so the depth lands on the object.</w:t>
      </w:r>
    </w:p>
    <w:p>
      <w:pPr>
        <w:keepNext/>
        <w:spacing w:after="60" w:before="120"/>
        <w:jc w:val="center"/>
      </w:pPr>
      <w:r>
        <w:drawing>
          <wp:inline distT="0" distB="0" distL="0" distR="0">
            <wp:extent cx="4857750" cy="3724275"/>
            <wp:effectExtent t="0" r="0" b="0" l="0"/>
            <wp:docPr id="1" name="depthfig.png" descr="Why the box depth put the target behind the object. (a) Along the camera line of sight. (b) Side view of the same case. (c) The camera image: the detection box holds table pixels that the SAM mask leaves ou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57750" cy="3724275"/>
                    </a:xfrm>
                    <a:prstGeom prst="rect">
                      <a:avLst/>
                    </a:prstGeom>
                  </pic:spPr>
                </pic:pic>
              </a:graphicData>
            </a:graphic>
          </wp:inline>
        </w:drawing>
      </w:r>
    </w:p>
    <w:p>
      <w:pPr>
        <w:spacing w:after="240" w:before="80"/>
        <w:jc w:val="both"/>
      </w:pPr>
      <w:r>
        <w:rPr>
          <w:rFonts w:ascii="Arial" w:cs="Arial" w:eastAsia="Arial" w:hAnsi="Arial"/>
          <w:b/>
          <w:bCs/>
          <w:sz w:val="18"/>
          <w:szCs w:val="18"/>
        </w:rPr>
        <w:t xml:space="preserve">Figure 6. </w:t>
      </w:r>
      <w:r>
        <w:rPr>
          <w:rFonts w:ascii="Arial" w:cs="Arial" w:eastAsia="Arial" w:hAnsi="Arial"/>
          <w:sz w:val="18"/>
          <w:szCs w:val="18"/>
        </w:rPr>
        <w:t xml:space="preserve">Why the box depth put the target behind the object. (a) Along the camera line of sight. (b) Side view of the same case. (c) The camera image: the detection box holds table pixels that the SAM mask leaves out.</w:t>
      </w:r>
    </w:p>
    <w:p>
      <w:pPr>
        <w:spacing w:after="120" w:line="264"/>
        <w:jc w:val="both"/>
      </w:pPr>
      <w:r>
        <w:rPr>
          <w:b/>
          <w:bCs/>
        </w:rPr>
        <w:t xml:space="preserve">Cause 2 was a biased camera to base transform.</w:t>
      </w:r>
      <w:r>
        <w:t xml:space="preserve"> Section 4.5 explains how the transform is fitted. A shift that is the same at every fitting pose does not raise the fit residual, so the residual cannot reveal it. </w:t>
      </w:r>
      <w:r>
        <w:rPr>
          <w:b/>
          <w:bCs/>
        </w:rPr>
        <w:t xml:space="preserve">Fix 2</w:t>
      </w:r>
      <w:r>
        <w:t xml:space="preserve"> is a reach test with keyboard jog, run after every calibration fit. The arm hovers 2 cm above a thin pen cross on the table. I jog it with the keyboard until the point between the fingertips is over the cross. The miss is then read from the robot over RTDE.</w:t>
      </w:r>
    </w:p>
    <w:p>
      <w:pPr>
        <w:pStyle w:val="Heading2"/>
      </w:pPr>
      <w:r>
        <w:t xml:space="preserve">4.5 Calibration without markers</w:t>
      </w:r>
    </w:p>
    <w:p>
      <w:pPr>
        <w:spacing w:after="120" w:line="264"/>
        <w:jc w:val="both"/>
      </w:pPr>
      <w:r>
        <w:t xml:space="preserve">The cell uses no printed marker, because Prof Cheah judged a board out of place in an interface meant to be easy to use. Instead, the arm holds a ball and moves it through 16 to 39 poses. The detector finds the ball in each image, and a rigid fit gives the camera to base transform in one to two minutes. A second step then levels the transform against the table plane. Table 6 shows how the calibration developed.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0"/>
        <w:gridCol w:w="3400"/>
        <w:gridCol w:w="2300"/>
        <w:gridCol w:w="2426"/>
      </w:tblGrid>
      <w:tr>
        <w:trPr>
          <w:cantSplit/>
          <w:tblHeader/>
        </w:trPr>
        <w:tc>
          <w:tcPr>
            <w:tcW w:type="dxa" w:w="9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Date</w:t>
            </w:r>
          </w:p>
        </w:tc>
        <w:tc>
          <w:tcPr>
            <w:tcW w:type="dxa" w:w="34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Method</w:t>
            </w:r>
          </w:p>
        </w:tc>
        <w:tc>
          <w:tcPr>
            <w:tcW w:type="dxa" w:w="23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Fit result</w:t>
            </w:r>
          </w:p>
        </w:tc>
        <w:tc>
          <w:tcPr>
            <w:tcW w:type="dxa" w:w="2426"/>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Outcome on the arm</w:t>
            </w:r>
          </w:p>
        </w:tc>
      </w:tr>
      <w:tr>
        <w:trPr>
          <w:cantSplit/>
        </w:trPr>
        <w:tc>
          <w:tcPr>
            <w:tcW w:type="dxa" w:w="9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1 Oct</w:t>
            </w:r>
          </w:p>
        </w:tc>
        <w:tc>
          <w:tcPr>
            <w:tcW w:type="dxa" w:w="34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Measured camera mount</w:t>
            </w:r>
          </w:p>
        </w:tc>
        <w:tc>
          <w:tcPr>
            <w:tcW w:type="dxa" w:w="23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Needed a 70 mm hand correction</w:t>
            </w:r>
          </w:p>
        </w:tc>
        <w:tc>
          <w:tcPr>
            <w:tcW w:type="dxa" w:w="24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Picks missed</w:t>
            </w:r>
          </w:p>
        </w:tc>
      </w:tr>
      <w:tr>
        <w:trPr>
          <w:cantSplit/>
        </w:trPr>
        <w:tc>
          <w:tcPr>
            <w:tcW w:type="dxa" w:w="9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13 Oct</w:t>
            </w:r>
          </w:p>
        </w:tc>
        <w:tc>
          <w:tcPr>
            <w:tcW w:type="dxa" w:w="34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Ball fit, five fits of 12 to 34 poses</w:t>
            </w:r>
          </w:p>
        </w:tc>
        <w:tc>
          <w:tcPr>
            <w:tcW w:type="dxa" w:w="23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Fit RMS 11.4 to 16.3 mm</w:t>
            </w:r>
          </w:p>
        </w:tc>
        <w:tc>
          <w:tcPr>
            <w:tcW w:type="dxa" w:w="24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Picks still missed</w:t>
            </w:r>
          </w:p>
        </w:tc>
      </w:tr>
      <w:tr>
        <w:trPr>
          <w:cantSplit/>
        </w:trPr>
        <w:tc>
          <w:tcPr>
            <w:tcW w:type="dxa" w:w="9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21 Oct</w:t>
            </w:r>
          </w:p>
        </w:tc>
        <w:tc>
          <w:tcPr>
            <w:tcW w:type="dxa" w:w="34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Ball fit after the arm was moved, 39 poses, then levelled (offset 16.8 mm, tilt 2.1 degrees)</w:t>
            </w:r>
          </w:p>
        </w:tc>
        <w:tc>
          <w:tcPr>
            <w:tcW w:type="dxa" w:w="23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Fit RMS 7.3 mm</w:t>
            </w:r>
          </w:p>
        </w:tc>
        <w:tc>
          <w:tcPr>
            <w:tcW w:type="dxa" w:w="24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Reach test missed by 18 to 36 mm, mostly along base x</w:t>
            </w:r>
          </w:p>
        </w:tc>
      </w:tr>
      <w:tr>
        <w:trPr>
          <w:cantSplit/>
        </w:trPr>
        <w:tc>
          <w:tcPr>
            <w:tcW w:type="dxa" w:w="9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21 Oct</w:t>
            </w:r>
          </w:p>
        </w:tc>
        <w:tc>
          <w:tcPr>
            <w:tcW w:type="dxa" w:w="34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Reach correction fitted to 4 jogged points (yaw 3.3 degrees plus a shift)</w:t>
            </w:r>
          </w:p>
        </w:tc>
        <w:tc>
          <w:tcPr>
            <w:tcW w:type="dxa" w:w="23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Residual 2.3 to 6.8 mm. Leave-one-out 4 to 12 mm</w:t>
            </w:r>
          </w:p>
        </w:tc>
        <w:tc>
          <w:tcPr>
            <w:tcW w:type="dxa" w:w="2426"/>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3 new points needed no jog at a 2 mm step. First full pick and place</w:t>
            </w:r>
          </w:p>
        </w:tc>
      </w:tr>
    </w:tbl>
    <w:p>
      <w:pPr>
        <w:spacing w:after="240" w:before="80"/>
        <w:jc w:val="both"/>
      </w:pPr>
      <w:r>
        <w:rPr>
          <w:rFonts w:ascii="Arial" w:cs="Arial" w:eastAsia="Arial" w:hAnsi="Arial"/>
          <w:b/>
          <w:bCs/>
          <w:sz w:val="18"/>
          <w:szCs w:val="18"/>
        </w:rPr>
        <w:t xml:space="preserve">Table 6. </w:t>
      </w:r>
      <w:r>
        <w:rPr>
          <w:rFonts w:ascii="Arial" w:cs="Arial" w:eastAsia="Arial" w:hAnsi="Arial"/>
          <w:sz w:val="18"/>
          <w:szCs w:val="18"/>
        </w:rPr>
        <w:t xml:space="preserve">Calibration history of the camera to base transform.</w:t>
      </w:r>
    </w:p>
    <w:p>
      <w:pPr>
        <w:spacing w:after="120" w:line="264"/>
        <w:jc w:val="both"/>
      </w:pPr>
      <w:r>
        <w:t xml:space="preserve">The reach test found what the fit residual could not. A fit with an RMS of 7.3 mm still missed by up to 36 mm. The likely reason is that the fingers hide part of the orange in every pose, so the detector's centre shifts the same way each time. The correction applied on 21 October is empirical. The next step is a refit with a matte ball that the fingers do not hide, which removes the need for it.</w:t>
      </w:r>
    </w:p>
    <w:p>
      <w:pPr>
        <w:spacing w:after="120" w:line="264"/>
        <w:jc w:val="both"/>
      </w:pPr>
      <w:r>
        <w:t xml:space="preserve">The calibration also sets where the arm may go. The safety envelope is a ring sector around the base, with a radius of 0.40 to 0.70 m, a bearing of -80 to -25 degrees and a height of 0.181 to 0.380 m. The -25 degree edge keeps the arm away from the camera tripod. Every pose either architecture commands is checked against it.</w:t>
      </w:r>
    </w:p>
    <w:p>
      <w:pPr>
        <w:pStyle w:val="Heading2"/>
      </w:pPr>
      <w:r>
        <w:t xml:space="preserve">4.6 First pick and place</w:t>
      </w:r>
    </w:p>
    <w:p>
      <w:pPr>
        <w:spacing w:after="120" w:line="264"/>
        <w:jc w:val="both"/>
      </w:pPr>
      <w:r>
        <w:t xml:space="preserve">On 21 October 2026 the new Architecture A ran from speech to a full pick and place for the first time (Figure 4b). Table 7 follows the trace of the clean run, which took 31.2 s in all. The spoken instruction was </w:t>
      </w:r>
      <w:r>
        <w:rPr>
          <w:i/>
          <w:iCs/>
        </w:rPr>
        <w:t xml:space="preserve">"Pick up the orange and place it in the red tray."</w:t>
      </w:r>
      <w:r>
        <w:t xml:space="preserve"> The pick check saw the orange 43 mm from the tool centre point, inside the 50 mm limit, so it reported the orange held. The place check saw the orange 162 mm from the tool, so it reported the orange released. I judged both steps correct at the bench.</w:t>
      </w:r>
    </w:p>
    <w:p>
      <w:pPr>
        <w:spacing w:after="120" w:line="264"/>
        <w:jc w:val="both"/>
      </w:pPr>
      <w:r>
        <w:t xml:space="preserve">The trace also shows a gap. In its final summary the planner said the orange sat about 7 cm from the centre of the tray, possibly on its rim. The place check only tests that the orange left the gripper, and it does not test where the orange landed. An earlier run that day placed the orange correctly, but the drop knocked a light pink container away, and A reported that step as not done. Figure 7 shows the camera view.</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000"/>
        <w:gridCol w:w="5826"/>
        <w:gridCol w:w="1200"/>
      </w:tblGrid>
      <w:tr>
        <w:trPr>
          <w:cantSplit/>
          <w:tblHeader/>
        </w:trPr>
        <w:tc>
          <w:tcPr>
            <w:tcW w:type="dxa" w:w="20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Stage</w:t>
            </w:r>
          </w:p>
        </w:tc>
        <w:tc>
          <w:tcPr>
            <w:tcW w:type="dxa" w:w="5826"/>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What the trace records</w:t>
            </w:r>
          </w:p>
        </w:tc>
        <w:tc>
          <w:tcPr>
            <w:tcW w:type="dxa" w:w="12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Time</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Grounding</w:t>
            </w:r>
          </w:p>
        </w:tc>
        <w:tc>
          <w:tcPr>
            <w:tcW w:type="dxa" w:w="58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Queries "orange" and "red tray"</w:t>
            </w:r>
          </w:p>
        </w:tc>
        <w:tc>
          <w:tcPr>
            <w:tcW w:type="dxa" w:w="1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4.03 s</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Perceive</w:t>
            </w:r>
          </w:p>
        </w:tc>
        <w:tc>
          <w:tcPr>
            <w:tcW w:type="dxa" w:w="58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Both found. Orange at (0.551, −0.303, 0.206) m with score 0.79</w:t>
            </w:r>
          </w:p>
        </w:tc>
        <w:tc>
          <w:tcPr>
            <w:tcW w:type="dxa" w:w="1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0.74 s</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Plan</w:t>
            </w:r>
          </w:p>
        </w:tc>
        <w:tc>
          <w:tcPr>
            <w:tcW w:type="dxa" w:w="58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One call: pick the orange</w:t>
            </w:r>
          </w:p>
        </w:tc>
        <w:tc>
          <w:tcPr>
            <w:tcW w:type="dxa" w:w="1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1.54 s</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Pick and check</w:t>
            </w:r>
          </w:p>
        </w:tc>
        <w:tc>
          <w:tcPr>
            <w:tcW w:type="dxa" w:w="58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Grip closed at 70 mm. Orange 43 mm from the tool, so held</w:t>
            </w:r>
          </w:p>
        </w:tc>
        <w:tc>
          <w:tcPr>
            <w:tcW w:type="dxa" w:w="1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9.25 s</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Perceive and plan</w:t>
            </w:r>
          </w:p>
        </w:tc>
        <w:tc>
          <w:tcPr>
            <w:tcW w:type="dxa" w:w="58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Fresh scene, then one call: place in the red tray</w:t>
            </w:r>
          </w:p>
        </w:tc>
        <w:tc>
          <w:tcPr>
            <w:tcW w:type="dxa" w:w="1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2.41 s</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Place and check</w:t>
            </w:r>
          </w:p>
        </w:tc>
        <w:tc>
          <w:tcPr>
            <w:tcW w:type="dxa" w:w="58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Released. Orange 162 mm from the tool</w:t>
            </w:r>
          </w:p>
        </w:tc>
        <w:tc>
          <w:tcPr>
            <w:tcW w:type="dxa" w:w="1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6.19 s</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Perceive and plan</w:t>
            </w:r>
          </w:p>
        </w:tc>
        <w:tc>
          <w:tcPr>
            <w:tcW w:type="dxa" w:w="58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Fresh scene, then done</w:t>
            </w:r>
          </w:p>
        </w:tc>
        <w:tc>
          <w:tcPr>
            <w:tcW w:type="dxa" w:w="12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4.15 s</w:t>
            </w:r>
          </w:p>
        </w:tc>
      </w:tr>
      <w:tr>
        <w:trPr>
          <w:cantSplit/>
        </w:trPr>
        <w:tc>
          <w:tcPr>
            <w:tcW w:type="dxa" w:w="20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Whole run</w:t>
            </w:r>
          </w:p>
        </w:tc>
        <w:tc>
          <w:tcPr>
            <w:tcW w:type="dxa" w:w="5826"/>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Operator judged both steps correct</w:t>
            </w:r>
          </w:p>
        </w:tc>
        <w:tc>
          <w:tcPr>
            <w:tcW w:type="dxa" w:w="12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31.2 s</w:t>
            </w:r>
          </w:p>
        </w:tc>
      </w:tr>
    </w:tbl>
    <w:p>
      <w:pPr>
        <w:spacing w:after="240" w:before="80"/>
        <w:jc w:val="both"/>
      </w:pPr>
      <w:r>
        <w:rPr>
          <w:rFonts w:ascii="Arial" w:cs="Arial" w:eastAsia="Arial" w:hAnsi="Arial"/>
          <w:b/>
          <w:bCs/>
          <w:sz w:val="18"/>
          <w:szCs w:val="18"/>
        </w:rPr>
        <w:t xml:space="preserve">Table 7. </w:t>
      </w:r>
      <w:r>
        <w:rPr>
          <w:rFonts w:ascii="Arial" w:cs="Arial" w:eastAsia="Arial" w:hAnsi="Arial"/>
          <w:sz w:val="18"/>
          <w:szCs w:val="18"/>
        </w:rPr>
        <w:t xml:space="preserve">Trace of the clean run on 21 October 2026, stage by stage.</w:t>
      </w:r>
    </w:p>
    <w:p>
      <w:pPr>
        <w:keepNext/>
        <w:spacing w:after="60" w:before="120"/>
        <w:jc w:val="center"/>
      </w:pPr>
      <w:r>
        <w:drawing>
          <wp:inline distT="0" distB="0" distL="0" distR="0">
            <wp:extent cx="5715000" cy="1905000"/>
            <wp:effectExtent t="0" r="0" b="0" l="0"/>
            <wp:docPr id="1" name="rgbd.png" descr="Colour and aligned depth frames from the fixed camera on the real cell. The pen crosses on the table are reach-test target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905000"/>
                    </a:xfrm>
                    <a:prstGeom prst="rect">
                      <a:avLst/>
                    </a:prstGeom>
                  </pic:spPr>
                </pic:pic>
              </a:graphicData>
            </a:graphic>
          </wp:inline>
        </w:drawing>
      </w:r>
    </w:p>
    <w:p>
      <w:pPr>
        <w:spacing w:after="240" w:before="80"/>
        <w:jc w:val="both"/>
      </w:pPr>
      <w:r>
        <w:rPr>
          <w:rFonts w:ascii="Arial" w:cs="Arial" w:eastAsia="Arial" w:hAnsi="Arial"/>
          <w:b/>
          <w:bCs/>
          <w:sz w:val="18"/>
          <w:szCs w:val="18"/>
        </w:rPr>
        <w:t xml:space="preserve">Figure 7. </w:t>
      </w:r>
      <w:r>
        <w:rPr>
          <w:rFonts w:ascii="Arial" w:cs="Arial" w:eastAsia="Arial" w:hAnsi="Arial"/>
          <w:sz w:val="18"/>
          <w:szCs w:val="18"/>
        </w:rPr>
        <w:t xml:space="preserve">Colour and aligned depth frames from the fixed camera on the real cell. The pen crosses on the table are reach-test targets.</w:t>
      </w:r>
    </w:p>
    <w:p>
      <w:pPr>
        <w:pStyle w:val="Heading2"/>
      </w:pPr>
      <w:r>
        <w:t xml:space="preserve">4.7 Problems encountered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700"/>
        <w:gridCol w:w="2700"/>
        <w:gridCol w:w="3626"/>
      </w:tblGrid>
      <w:tr>
        <w:trPr>
          <w:cantSplit/>
          <w:tblHeader/>
        </w:trPr>
        <w:tc>
          <w:tcPr>
            <w:tcW w:type="dxa" w:w="27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Problem</w:t>
            </w:r>
          </w:p>
        </w:tc>
        <w:tc>
          <w:tcPr>
            <w:tcW w:type="dxa" w:w="27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Effect</w:t>
            </w:r>
          </w:p>
        </w:tc>
        <w:tc>
          <w:tcPr>
            <w:tcW w:type="dxa" w:w="3626"/>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Response</w:t>
            </w:r>
          </w:p>
        </w:tc>
      </w:tr>
      <w:tr>
        <w:trPr>
          <w:cantSplit/>
        </w:trPr>
        <w:tc>
          <w:tcPr>
            <w:tcW w:type="dxa" w:w="2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Lab moved the arm and the camera</w:t>
            </w:r>
          </w:p>
        </w:tc>
        <w:tc>
          <w:tcPr>
            <w:tcW w:type="dxa" w:w="2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All calibration was redone on 21 Oct</w:t>
            </w:r>
          </w:p>
        </w:tc>
        <w:tc>
          <w:tcPr>
            <w:tcW w:type="dxa" w:w="36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Tripod on tape marks, a centre-pixel depth check each session, a fit and a reach test each session</w:t>
            </w:r>
          </w:p>
        </w:tc>
      </w:tr>
      <w:tr>
        <w:trPr>
          <w:cantSplit/>
        </w:trPr>
        <w:tc>
          <w:tcPr>
            <w:tcW w:type="dxa" w:w="2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"RTDE input registers are already in use"</w:t>
            </w:r>
          </w:p>
        </w:tc>
        <w:tc>
          <w:tcPr>
            <w:tcW w:type="dxa" w:w="2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The arm could not be driven</w:t>
            </w:r>
          </w:p>
        </w:tc>
        <w:tc>
          <w:tcPr>
            <w:tcW w:type="dxa" w:w="36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Traced to a suspended script still holding the arm. The controller now disconnects on close</w:t>
            </w:r>
          </w:p>
        </w:tc>
      </w:tr>
      <w:tr>
        <w:trPr>
          <w:cantSplit/>
        </w:trPr>
        <w:tc>
          <w:tcPr>
            <w:tcW w:type="dxa" w:w="2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 held object read above the height ceiling</w:t>
            </w:r>
          </w:p>
        </w:tc>
        <w:tc>
          <w:tcPr>
            <w:tcW w:type="dxa" w:w="27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The command after a pick was refused</w:t>
            </w:r>
          </w:p>
        </w:tc>
        <w:tc>
          <w:tcPr>
            <w:tcW w:type="dxa" w:w="36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Seen objects are now judged by the sector and the floor only</w:t>
            </w:r>
          </w:p>
        </w:tc>
      </w:tr>
      <w:tr>
        <w:trPr>
          <w:cantSplit/>
        </w:trPr>
        <w:tc>
          <w:tcPr>
            <w:tcW w:type="dxa" w:w="27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OWLv2 scored "pink tray" below its 0.3 threshold</w:t>
            </w:r>
          </w:p>
        </w:tc>
        <w:tc>
          <w:tcPr>
            <w:tcW w:type="dxa" w:w="27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The destination was not found</w:t>
            </w:r>
          </w:p>
        </w:tc>
        <w:tc>
          <w:tcPr>
            <w:tcW w:type="dxa" w:w="3626"/>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Tier 0 destination changed to the red container, with a dated changelog entry</w:t>
            </w:r>
          </w:p>
        </w:tc>
      </w:tr>
    </w:tbl>
    <w:p>
      <w:pPr>
        <w:spacing w:after="240" w:before="80"/>
        <w:jc w:val="both"/>
      </w:pPr>
      <w:r>
        <w:rPr>
          <w:rFonts w:ascii="Arial" w:cs="Arial" w:eastAsia="Arial" w:hAnsi="Arial"/>
          <w:b/>
          <w:bCs/>
          <w:sz w:val="18"/>
          <w:szCs w:val="18"/>
        </w:rPr>
        <w:t xml:space="preserve">Table 8. </w:t>
      </w:r>
      <w:r>
        <w:rPr>
          <w:rFonts w:ascii="Arial" w:cs="Arial" w:eastAsia="Arial" w:hAnsi="Arial"/>
          <w:sz w:val="18"/>
          <w:szCs w:val="18"/>
        </w:rPr>
        <w:t xml:space="preserve">Problems met in Semester 1 and the response to each.</w:t>
      </w:r>
    </w:p>
    <w:p>
      <w:pPr>
        <w:pStyle w:val="Heading1"/>
      </w:pPr>
      <w:r>
        <w:t xml:space="preserve">5. Future Work</w:t>
      </w:r>
    </w:p>
    <w:p>
      <w:pPr>
        <w:pStyle w:val="Heading2"/>
      </w:pPr>
      <w:r>
        <w:t xml:space="preserve">5.1 Remaining work on Architecture A</w:t>
      </w:r>
    </w:p>
    <w:p>
      <w:pPr>
        <w:pStyle w:val="ListParagraph"/>
        <w:numPr>
          <w:ilvl w:val="0"/>
          <w:numId w:val="4"/>
        </w:numPr>
        <w:spacing w:after="60"/>
      </w:pPr>
      <w:r>
        <w:t xml:space="preserve">Refit the transform with a matte ball, drop the empirical correction, and validate it with the reach test</w:t>
      </w:r>
    </w:p>
    <w:p>
      <w:pPr>
        <w:pStyle w:val="ListParagraph"/>
        <w:numPr>
          <w:ilvl w:val="0"/>
          <w:numId w:val="4"/>
        </w:numPr>
        <w:spacing w:after="60"/>
      </w:pPr>
      <w:r>
        <w:t xml:space="preserve">Run the 20-trial Tier 0 run through the harness in December 2026, with success judged at the bench</w:t>
      </w:r>
    </w:p>
    <w:p>
      <w:pPr>
        <w:pStyle w:val="ListParagraph"/>
        <w:numPr>
          <w:ilvl w:val="0"/>
          <w:numId w:val="4"/>
        </w:numPr>
        <w:spacing w:after="60"/>
      </w:pPr>
      <w:r>
        <w:t xml:space="preserve">Make the place check test where the object landed, and set the release height</w:t>
      </w:r>
    </w:p>
    <w:p>
      <w:pPr>
        <w:pStyle w:val="ListParagraph"/>
        <w:numPr>
          <w:ilvl w:val="0"/>
          <w:numId w:val="4"/>
        </w:numPr>
        <w:spacing w:after="60"/>
      </w:pPr>
      <w:r>
        <w:t xml:space="preserve">Make perception a tool the planner calls with its own noun phrases, so it can look for new words after a clarification, as Tier 2 needs</w:t>
      </w:r>
    </w:p>
    <w:p>
      <w:pPr>
        <w:pStyle w:val="ListParagraph"/>
        <w:numPr>
          <w:ilvl w:val="0"/>
          <w:numId w:val="4"/>
        </w:numPr>
        <w:spacing w:after="60"/>
      </w:pPr>
      <w:r>
        <w:t xml:space="preserve">Write the pour skill for Tier 1 and finish the drawer skill for Tier 3</w:t>
      </w:r>
    </w:p>
    <w:p>
      <w:pPr>
        <w:pStyle w:val="Heading2"/>
      </w:pPr>
      <w:r>
        <w:t xml:space="preserve">5.2 Architecture B training and safety</w:t>
      </w:r>
    </w:p>
    <w:p>
      <w:pPr>
        <w:spacing w:after="120" w:line="264"/>
        <w:jc w:val="both"/>
      </w:pPr>
      <w:r>
        <w:t xml:space="preserve">Architecture B starts after the Semester 1 exams. Figure 8 shows its design. SmolVLA keeps its vision-language model frozen by default and trains the action expert and the state projection. The plan follows a fixed order.</w:t>
      </w:r>
    </w:p>
    <w:p>
      <w:pPr>
        <w:pStyle w:val="ListParagraph"/>
        <w:numPr>
          <w:ilvl w:val="0"/>
          <w:numId w:val="4"/>
        </w:numPr>
        <w:spacing w:after="60"/>
      </w:pPr>
      <w:r>
        <w:t xml:space="preserve">Record teleoperated demonstrations on the UR5e with a 3D jog device, so that no hands appear in the camera views</w:t>
      </w:r>
    </w:p>
    <w:p>
      <w:pPr>
        <w:pStyle w:val="ListParagraph"/>
        <w:numPr>
          <w:ilvl w:val="0"/>
          <w:numId w:val="4"/>
        </w:numPr>
        <w:spacing w:after="60"/>
      </w:pPr>
      <w:r>
        <w:t xml:space="preserve">Record about 50 episodes per task</w:t>
      </w:r>
    </w:p>
    <w:p>
      <w:pPr>
        <w:pStyle w:val="ListParagraph"/>
        <w:numPr>
          <w:ilvl w:val="0"/>
          <w:numId w:val="4"/>
        </w:numPr>
        <w:spacing w:after="60"/>
      </w:pPr>
      <w:r>
        <w:t xml:space="preserve">Log two camera views and the robot state at 20 Hz</w:t>
      </w:r>
    </w:p>
    <w:p>
      <w:pPr>
        <w:pStyle w:val="ListParagraph"/>
        <w:numPr>
          <w:ilvl w:val="0"/>
          <w:numId w:val="4"/>
        </w:numPr>
        <w:spacing w:after="60"/>
      </w:pPr>
      <w:r>
        <w:t xml:space="preserve">Use 5 to 10 phrasings per task, so that held-out phrasing can be tested</w:t>
      </w:r>
    </w:p>
    <w:p>
      <w:pPr>
        <w:pStyle w:val="ListParagraph"/>
        <w:numPr>
          <w:ilvl w:val="0"/>
          <w:numId w:val="4"/>
        </w:numPr>
        <w:spacing w:after="60"/>
      </w:pPr>
      <w:r>
        <w:t xml:space="preserve">Start with Tier 0 in a small workspace</w:t>
      </w:r>
    </w:p>
    <w:p>
      <w:pPr>
        <w:pStyle w:val="ListParagraph"/>
        <w:numPr>
          <w:ilvl w:val="0"/>
          <w:numId w:val="4"/>
        </w:numPr>
        <w:spacing w:after="60"/>
      </w:pPr>
      <w:r>
        <w:t xml:space="preserve">Fine-tune SmolVLA on the recorded episodes</w:t>
      </w:r>
    </w:p>
    <w:p>
      <w:pPr>
        <w:pStyle w:val="ListParagraph"/>
        <w:numPr>
          <w:ilvl w:val="0"/>
          <w:numId w:val="4"/>
        </w:numPr>
        <w:spacing w:after="60"/>
      </w:pPr>
      <w:r>
        <w:t xml:space="preserve">Widen the workspace once Tier 0 works</w:t>
      </w:r>
    </w:p>
    <w:p>
      <w:pPr>
        <w:spacing w:after="120" w:line="264"/>
        <w:jc w:val="both"/>
      </w:pPr>
      <w:r>
        <w:t xml:space="preserve">Safety comes before the first run on the arm. Every predicted action is clamped to the shared speed ceiling and checked against the same envelope as A. A model under an unfamiliar view can output a chunk that moves the arm hard, and the envelope stops it. Inference runs on LeRobot's own policy server and robot client, so the arm keeps moving while the model computes the next chunk [9].</w:t>
      </w:r>
    </w:p>
    <w:p>
      <w:pPr>
        <w:keepNext/>
        <w:spacing w:after="60" w:before="120"/>
        <w:jc w:val="center"/>
      </w:pPr>
      <w:r>
        <w:drawing>
          <wp:inline distT="0" distB="0" distL="0" distR="0">
            <wp:extent cx="5715000" cy="4038600"/>
            <wp:effectExtent t="0" r="0" b="0" l="0"/>
            <wp:docPr id="1" name="archb.png" descr="Architecture B. (a) The encoder path turns two views, the state and the instruction into features. The flow-matching path predicts a velocity field, and ten Euler steps turn noise into a chunk of 50 actions. (b) Each action is clamped and checked before the arm moves. (c) Training starts in Semester 2, and only the parts marked with a flame are train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38600"/>
                    </a:xfrm>
                    <a:prstGeom prst="rect">
                      <a:avLst/>
                    </a:prstGeom>
                  </pic:spPr>
                </pic:pic>
              </a:graphicData>
            </a:graphic>
          </wp:inline>
        </w:drawing>
      </w:r>
    </w:p>
    <w:p>
      <w:pPr>
        <w:spacing w:after="240" w:before="80"/>
        <w:jc w:val="both"/>
      </w:pPr>
      <w:r>
        <w:rPr>
          <w:rFonts w:ascii="Arial" w:cs="Arial" w:eastAsia="Arial" w:hAnsi="Arial"/>
          <w:b/>
          <w:bCs/>
          <w:sz w:val="18"/>
          <w:szCs w:val="18"/>
        </w:rPr>
        <w:t xml:space="preserve">Figure 8. </w:t>
      </w:r>
      <w:r>
        <w:rPr>
          <w:rFonts w:ascii="Arial" w:cs="Arial" w:eastAsia="Arial" w:hAnsi="Arial"/>
          <w:sz w:val="18"/>
          <w:szCs w:val="18"/>
        </w:rPr>
        <w:t xml:space="preserve">Architecture B. (a) The encoder path turns two views, the state and the instruction into features. The flow-matching path predicts a velocity field, and ten Euler steps turn noise into a chunk of 50 actions. (b) Each action is clamped and checked before the arm moves. (c) Training starts in Semester 2, and only the parts marked with a flame are trained.</w:t>
      </w:r>
    </w:p>
    <w:p>
      <w:pPr>
        <w:pStyle w:val="Heading2"/>
      </w:pPr>
      <w:r>
        <w:t xml:space="preserve">5.3 Changes to the original requirements</w:t>
      </w:r>
    </w:p>
    <w:p>
      <w:pPr>
        <w:spacing w:after="120" w:line="264"/>
        <w:jc w:val="both"/>
      </w:pPr>
      <w:r>
        <w:t xml:space="preserve">Three changes were made in Semester 1, and each is recorded with a date. Architecture A became a loop on 7 October (Section 4.3). Speech became the only input on 13 October, so no trial can be typed. The Tier 0 objects changed from a red cube and a box to an orange and a red container, on 13 and 26 October, because of what was at hand and what the detector could find. Each change to the frozen suite is in its changelog, with the same layouts kept.</w:t>
      </w:r>
    </w:p>
    <w:p>
      <w:pPr>
        <w:pStyle w:val="Heading2"/>
      </w:pPr>
      <w:r>
        <w:t xml:space="preserve">5.4 Risks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000"/>
        <w:gridCol w:w="3000"/>
        <w:gridCol w:w="4026"/>
      </w:tblGrid>
      <w:tr>
        <w:trPr>
          <w:cantSplit/>
          <w:tblHeader/>
        </w:trPr>
        <w:tc>
          <w:tcPr>
            <w:tcW w:type="dxa" w:w="20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Risk</w:t>
            </w:r>
          </w:p>
        </w:tc>
        <w:tc>
          <w:tcPr>
            <w:tcW w:type="dxa" w:w="3000"/>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Effect</w:t>
            </w:r>
          </w:p>
        </w:tc>
        <w:tc>
          <w:tcPr>
            <w:tcW w:type="dxa" w:w="4026"/>
            <w:tcBorders>
              <w:top w:val="single" w:color="000000" w:sz="12"/>
              <w:left w:val="none" w:color="FFFFFF" w:sz="0"/>
              <w:bottom w:val="single" w:color="000000" w:sz="6"/>
              <w:right w:val="none" w:color="FFFFFF" w:sz="0"/>
            </w:tcBorders>
            <w:tcMar>
              <w:top w:type="dxa" w:w="70"/>
              <w:left w:type="dxa" w:w="110"/>
              <w:bottom w:type="dxa" w:w="70"/>
              <w:right w:type="dxa" w:w="110"/>
            </w:tcMar>
            <w:vAlign w:val="center"/>
          </w:tcPr>
          <w:p>
            <w:pPr>
              <w:keepNext/>
            </w:pPr>
            <w:r>
              <w:rPr>
                <w:rFonts w:ascii="Arial" w:cs="Arial" w:eastAsia="Arial" w:hAnsi="Arial"/>
                <w:b/>
                <w:bCs/>
                <w:color w:val="000000"/>
                <w:sz w:val="18"/>
                <w:szCs w:val="18"/>
              </w:rPr>
              <w:t xml:space="preserve">Response</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Demonstration coverage</w:t>
            </w:r>
          </w:p>
        </w:tc>
        <w:tc>
          <w:tcPr>
            <w:tcW w:type="dxa" w:w="3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B fails outside the region it was shown</w:t>
            </w:r>
          </w:p>
        </w:tc>
        <w:tc>
          <w:tcPr>
            <w:tcW w:type="dxa" w:w="40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Start in a small workspace, where density matters more than count, then widen</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Demonstration quality</w:t>
            </w:r>
          </w:p>
        </w:tc>
        <w:tc>
          <w:tcPr>
            <w:tcW w:type="dxa" w:w="3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Hands in view or uneven motion teach the wrong cues</w:t>
            </w:r>
          </w:p>
        </w:tc>
        <w:tc>
          <w:tcPr>
            <w:tcW w:type="dxa" w:w="40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Jog device instead of hand guiding. Inspect the first five episodes before recording more</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GPU memory</w:t>
            </w:r>
          </w:p>
        </w:tc>
        <w:tc>
          <w:tcPr>
            <w:tcW w:type="dxa" w:w="3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12 GB may not fit the SmolVLA fine-tune</w:t>
            </w:r>
          </w:p>
        </w:tc>
        <w:tc>
          <w:tcPr>
            <w:tcW w:type="dxa" w:w="40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Short test run on the first episodes. Then gradient accumulation, gradient checkpointing, an 8-bit optimiser or a frozen vision backbone</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Calibration drift</w:t>
            </w:r>
          </w:p>
        </w:tc>
        <w:tc>
          <w:tcPr>
            <w:tcW w:type="dxa" w:w="3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 misses, and B sees a view it was not trained on</w:t>
            </w:r>
          </w:p>
        </w:tc>
        <w:tc>
          <w:tcPr>
            <w:tcW w:type="dxa" w:w="40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Fit and reach test each session. Record demonstrations across the small range of camera positions</w:t>
            </w:r>
          </w:p>
        </w:tc>
      </w:tr>
      <w:tr>
        <w:trPr>
          <w:cantSplit/>
        </w:trPr>
        <w:tc>
          <w:tcPr>
            <w:tcW w:type="dxa" w:w="2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Fair comparison</w:t>
            </w:r>
          </w:p>
        </w:tc>
        <w:tc>
          <w:tcPr>
            <w:tcW w:type="dxa" w:w="3000"/>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An unequal setting biases the result</w:t>
            </w:r>
          </w:p>
        </w:tc>
        <w:tc>
          <w:tcPr>
            <w:tcW w:type="dxa" w:w="4026"/>
            <w:tcBorders>
              <w:top w:val="none" w:color="FFFFFF" w:sz="0"/>
              <w:left w:val="none" w:color="FFFFFF" w:sz="0"/>
              <w:bottom w:val="single" w:color="000000" w:sz="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Shared modules, a frozen suite, a blind harness and a dated changelog</w:t>
            </w:r>
          </w:p>
        </w:tc>
      </w:tr>
      <w:tr>
        <w:trPr>
          <w:cantSplit/>
        </w:trPr>
        <w:tc>
          <w:tcPr>
            <w:tcW w:type="dxa" w:w="20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Learned actions</w:t>
            </w:r>
          </w:p>
        </w:tc>
        <w:tc>
          <w:tcPr>
            <w:tcW w:type="dxa" w:w="3000"/>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A predicted chunk can move the arm unsafely</w:t>
            </w:r>
          </w:p>
        </w:tc>
        <w:tc>
          <w:tcPr>
            <w:tcW w:type="dxa" w:w="4026"/>
            <w:tcBorders>
              <w:top w:val="none" w:color="FFFFFF" w:sz="0"/>
              <w:left w:val="none" w:color="FFFFFF" w:sz="0"/>
              <w:bottom w:val="single" w:color="000000" w:sz="12"/>
              <w:right w:val="none" w:color="FFFFFF" w:sz="0"/>
            </w:tcBorders>
            <w:tcMar>
              <w:top w:type="dxa" w:w="70"/>
              <w:left w:type="dxa" w:w="110"/>
              <w:bottom w:type="dxa" w:w="70"/>
              <w:right w:type="dxa" w:w="110"/>
            </w:tcMar>
            <w:vAlign w:val="center"/>
          </w:tcPr>
          <w:p>
            <w:pPr>
              <w:keepNext/>
            </w:pPr>
            <w:r>
              <w:rPr>
                <w:rFonts w:ascii="Arial" w:cs="Arial" w:eastAsia="Arial" w:hAnsi="Arial"/>
                <w:color w:val="000000"/>
                <w:sz w:val="18"/>
                <w:szCs w:val="18"/>
              </w:rPr>
              <w:t xml:space="preserve">Speed clamp and envelope on every action. Test the e-stop recovery before any trial</w:t>
            </w:r>
          </w:p>
        </w:tc>
      </w:tr>
    </w:tbl>
    <w:p>
      <w:pPr>
        <w:spacing w:after="240" w:before="80"/>
        <w:jc w:val="both"/>
      </w:pPr>
      <w:r>
        <w:rPr>
          <w:rFonts w:ascii="Arial" w:cs="Arial" w:eastAsia="Arial" w:hAnsi="Arial"/>
          <w:b/>
          <w:bCs/>
          <w:sz w:val="18"/>
          <w:szCs w:val="18"/>
        </w:rPr>
        <w:t xml:space="preserve">Table 9. </w:t>
      </w:r>
      <w:r>
        <w:rPr>
          <w:rFonts w:ascii="Arial" w:cs="Arial" w:eastAsia="Arial" w:hAnsi="Arial"/>
          <w:sz w:val="18"/>
          <w:szCs w:val="18"/>
        </w:rPr>
        <w:t xml:space="preserve">Risks for Semester 2 and the response to each.</w:t>
      </w:r>
    </w:p>
    <w:p>
      <w:pPr>
        <w:pStyle w:val="Heading2"/>
      </w:pPr>
      <w:r>
        <w:t xml:space="preserve">5.5 Schedule</w:t>
      </w:r>
    </w:p>
    <w:p>
      <w:pPr>
        <w:spacing w:after="120" w:line="264"/>
        <w:jc w:val="both"/>
      </w:pPr>
      <w:r>
        <w:t xml:space="preserve">Figure 9 shows the plan to the end of the project. The matte-ball refit and the 20-trial Tier 0 run of A take place in December, after the exams, and the demonstrations start in the same vacation. B reaches Tier 0 by Semester 2 Week 3. The comparison runs through February, and results are frozen at the end of that month. The reports follow on the NTU dates.</w:t>
      </w:r>
    </w:p>
    <w:p>
      <w:pPr>
        <w:keepNext/>
        <w:spacing w:after="60" w:before="120"/>
        <w:jc w:val="center"/>
      </w:pPr>
      <w:r>
        <w:drawing>
          <wp:inline distT="0" distB="0" distL="0" distR="0">
            <wp:extent cx="5715000" cy="2171700"/>
            <wp:effectExtent t="0" r="0" b="0" l="0"/>
            <wp:docPr id="1" name="gantt.png" descr="Schedule from Semester 1 Week 11 to the oral presentation in May 2027."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171700"/>
                    </a:xfrm>
                    <a:prstGeom prst="rect">
                      <a:avLst/>
                    </a:prstGeom>
                  </pic:spPr>
                </pic:pic>
              </a:graphicData>
            </a:graphic>
          </wp:inline>
        </w:drawing>
      </w:r>
    </w:p>
    <w:p>
      <w:pPr>
        <w:spacing w:after="240" w:before="80"/>
        <w:jc w:val="both"/>
      </w:pPr>
      <w:r>
        <w:rPr>
          <w:rFonts w:ascii="Arial" w:cs="Arial" w:eastAsia="Arial" w:hAnsi="Arial"/>
          <w:b/>
          <w:bCs/>
          <w:sz w:val="18"/>
          <w:szCs w:val="18"/>
        </w:rPr>
        <w:t xml:space="preserve">Figure 9. </w:t>
      </w:r>
      <w:r>
        <w:rPr>
          <w:rFonts w:ascii="Arial" w:cs="Arial" w:eastAsia="Arial" w:hAnsi="Arial"/>
          <w:sz w:val="18"/>
          <w:szCs w:val="18"/>
        </w:rPr>
        <w:t xml:space="preserve">Schedule from Semester 1 Week 11 to the oral presentation in May 2027.</w:t>
      </w:r>
    </w:p>
    <w:p>
      <w:pPr>
        <w:pStyle w:val="Heading1"/>
      </w:pPr>
      <w:r>
        <w:t xml:space="preserve">6. Conclusion</w:t>
      </w:r>
    </w:p>
    <w:p>
      <w:pPr>
        <w:spacing w:after="120" w:line="264"/>
        <w:jc w:val="both"/>
      </w:pPr>
      <w:r>
        <w:t xml:space="preserve">Architecture A now runs on the real arm from a spoken command to a full pick and place. Getting there took most of October. The grasps missed for two systematic reasons, a depth point taken from a box average and a transform bias that the fit residual could not show. Both were found from three plain observations and fixed with SAM masks and a reach test after every fit.</w:t>
      </w:r>
    </w:p>
    <w:p>
      <w:pPr>
        <w:spacing w:after="120" w:line="264"/>
        <w:jc w:val="both"/>
      </w:pPr>
      <w:r>
        <w:t xml:space="preserve">The assessment is mixed. The fairness controls are written into code, and the harness has been frozen since August. The calibration still depends on an empirical correction, and the 20-trial Tier 0 run is planned for December 2026. Architecture B has its robot side written but no episode recorded yet. Its training in January and February is the largest risk to the schedule, and the order of work in Section 5.2 is set to meet it.</w:t>
      </w:r>
    </w:p>
    <w:p>
      <w:pPr>
        <w:pStyle w:val="Heading1"/>
      </w:pPr>
      <w:r>
        <w:t xml:space="preserve">7. Acknowledging the Use of GAI</w:t>
      </w:r>
    </w:p>
    <w:p>
      <w:pPr>
        <w:spacing w:after="120" w:line="264"/>
        <w:jc w:val="both"/>
      </w:pPr>
      <w:r>
        <w:t xml:space="preserve">Generative AI was used in this project. Claude, a model by Anthropic, helped write and review code and helped draft and edit this report. All design decisions, bench work and results are my own. An LLM is also part of Architecture A, where it is the object of study. </w:t>
      </w:r>
      <w:r>
        <w:rPr>
          <w:highlight w:val="yellow"/>
          <w:highlightCs w:val="yellow"/>
        </w:rPr>
        <w:t xml:space="preserve">[Complete and attach the GAI declaration form from the FYP email.]</w:t>
      </w:r>
    </w:p>
    <w:p>
      <w:pPr>
        <w:pStyle w:val="Heading1"/>
      </w:pPr>
      <w:r>
        <w:t xml:space="preserve">References</w:t>
      </w:r>
    </w:p>
    <w:p>
      <w:pPr>
        <w:tabs>
          <w:tab w:val="left" w:pos="480"/>
        </w:tabs>
        <w:spacing w:after="80"/>
        <w:ind w:left="480" w:hanging="480"/>
      </w:pPr>
      <w:r>
        <w:rPr>
          <w:sz w:val="19"/>
          <w:szCs w:val="19"/>
        </w:rPr>
        <w:t xml:space="preserve">[1]	S. Shan and C. C. Cheah, "A large-language-model-enabled robotic system with application to power cable manipulation," in Proc. CPEEE, 2026, doi: 10.1109/CPEEE69412.2026.11521580.</w:t>
      </w:r>
    </w:p>
    <w:p>
      <w:pPr>
        <w:tabs>
          <w:tab w:val="left" w:pos="480"/>
        </w:tabs>
        <w:spacing w:after="80"/>
        <w:ind w:left="480" w:hanging="480"/>
      </w:pPr>
      <w:r>
        <w:rPr>
          <w:sz w:val="19"/>
          <w:szCs w:val="19"/>
        </w:rPr>
        <w:t xml:space="preserve">[2]	J. Liang, W. Huang, F. Xia, P. Xu, K. Hausman, B. Ichter, P. Florence and A. Zeng, "Code as policies: Language model programs for embodied control," in Proc. IEEE Int. Conf. Robotics and Automation (ICRA), 2023. arXiv:2209.07753, 2022.</w:t>
      </w:r>
    </w:p>
    <w:p>
      <w:pPr>
        <w:tabs>
          <w:tab w:val="left" w:pos="480"/>
        </w:tabs>
        <w:spacing w:after="80"/>
        <w:ind w:left="480" w:hanging="480"/>
      </w:pPr>
      <w:r>
        <w:rPr>
          <w:sz w:val="19"/>
          <w:szCs w:val="19"/>
        </w:rPr>
        <w:t xml:space="preserve">[3]	A. Z. Ren et al., "Robots that ask for help: Uncertainty alignment for large language model planners," in Proc. Conf. Robot Learning (CoRL), PMLR vol. 229, pp. 661-682, 2023.</w:t>
      </w:r>
    </w:p>
    <w:p>
      <w:pPr>
        <w:tabs>
          <w:tab w:val="left" w:pos="480"/>
        </w:tabs>
        <w:spacing w:after="80"/>
        <w:ind w:left="480" w:hanging="480"/>
      </w:pPr>
      <w:r>
        <w:rPr>
          <w:sz w:val="19"/>
          <w:szCs w:val="19"/>
        </w:rPr>
        <w:t xml:space="preserve">[4]	P. Guo et al., "AgenticLab: A real-world robot agent platform that can see, think, and act," arXiv:2602.01662, Feb. 2026.</w:t>
      </w:r>
    </w:p>
    <w:p>
      <w:pPr>
        <w:tabs>
          <w:tab w:val="left" w:pos="480"/>
        </w:tabs>
        <w:spacing w:after="80"/>
        <w:ind w:left="480" w:hanging="480"/>
      </w:pPr>
      <w:r>
        <w:rPr>
          <w:sz w:val="19"/>
          <w:szCs w:val="19"/>
        </w:rPr>
        <w:t xml:space="preserve">[5]	S. Lian et al., "BayesianVLA: Bayesian decomposition of vision language action models via latent action queries," arXiv:2601.15197, 2026.</w:t>
      </w:r>
    </w:p>
    <w:p>
      <w:pPr>
        <w:tabs>
          <w:tab w:val="left" w:pos="480"/>
        </w:tabs>
        <w:spacing w:after="80"/>
        <w:ind w:left="480" w:hanging="480"/>
      </w:pPr>
      <w:r>
        <w:rPr>
          <w:sz w:val="19"/>
          <w:szCs w:val="19"/>
        </w:rPr>
        <w:t xml:space="preserve">[6]	M. Shukor et al., "SmolVLA: A vision-language-action model for affordable and efficient robotics," arXiv:2506.01844, 2025.</w:t>
      </w:r>
    </w:p>
    <w:p>
      <w:pPr>
        <w:tabs>
          <w:tab w:val="left" w:pos="480"/>
        </w:tabs>
        <w:spacing w:after="80"/>
        <w:ind w:left="480" w:hanging="480"/>
      </w:pPr>
      <w:r>
        <w:rPr>
          <w:sz w:val="19"/>
          <w:szCs w:val="19"/>
        </w:rPr>
        <w:t xml:space="preserve">[7]	M. Minderer, A. Gritsenko and N. Houlsby, "Scaling open-vocabulary object detection," in Advances in Neural Information Processing Systems (NeurIPS), 2023.</w:t>
      </w:r>
    </w:p>
    <w:p>
      <w:pPr>
        <w:tabs>
          <w:tab w:val="left" w:pos="480"/>
        </w:tabs>
        <w:spacing w:after="80"/>
        <w:ind w:left="480" w:hanging="480"/>
      </w:pPr>
      <w:r>
        <w:rPr>
          <w:sz w:val="19"/>
          <w:szCs w:val="19"/>
        </w:rPr>
        <w:t xml:space="preserve">[8]	A. Kirillov et al., "Segment anything," in Proc. IEEE/CVF Int. Conf. Computer Vision (ICCV), 2023.</w:t>
      </w:r>
    </w:p>
    <w:p>
      <w:pPr>
        <w:tabs>
          <w:tab w:val="left" w:pos="480"/>
        </w:tabs>
        <w:spacing w:after="80"/>
        <w:ind w:left="480" w:hanging="480"/>
      </w:pPr>
      <w:r>
        <w:rPr>
          <w:sz w:val="19"/>
          <w:szCs w:val="19"/>
        </w:rPr>
        <w:t xml:space="preserve">[9]	K. Black, M. Y. Galliker and S. Levine, "Real-time execution of action chunking flow policies," arXiv:2506.07339, 2025.</w:t>
      </w:r>
    </w:p>
    <w:p>
      <w:pPr>
        <w:tabs>
          <w:tab w:val="left" w:pos="480"/>
        </w:tabs>
        <w:spacing w:after="80"/>
        <w:ind w:left="480" w:hanging="480"/>
      </w:pPr>
      <w:r>
        <w:rPr>
          <w:sz w:val="19"/>
          <w:szCs w:val="19"/>
        </w:rPr>
        <w:t xml:space="preserve">[10]	A. Radford, J. W. Kim, T. Xu, G. Brockman, C. McLeavey and I. Sutskever, "Robust speech recognition via large-scale weak supervision," in Proc. Int. Conf. Machine Learning (ICML), 2023.</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FYP A1005-261  |  Interim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FYP A1005-261  |  Interim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FYP A1005-261  |  Interim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Zero"/>
      <w:lvlText w:val="%1"/>
      <w:lvlJc w:val="left"/>
      <w:pPr>
        <w:ind w:left="540" w:hanging="4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sz w:val="26"/>
      <w:szCs w:val="26"/>
    </w:rPr>
  </w:style>
  <w:style w:type="paragraph" w:styleId="Heading2">
    <w:name w:val="Heading 2"/>
    <w:basedOn w:val="Normal"/>
    <w:next w:val="Normal"/>
    <w:qFormat/>
    <w:pPr>
      <w:keepNext/>
      <w:spacing w:after="10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1edb704597361982becab6fa14a9c18cee634f8.png"/><Relationship Id="rId14" Type="http://schemas.openxmlformats.org/officeDocument/2006/relationships/image" Target="media/fd987d52138a96a8ac3f704ddf7a3c7219ea4e1d.png"/><Relationship Id="rId15" Type="http://schemas.openxmlformats.org/officeDocument/2006/relationships/image" Target="media/1576691cb5c17c30b0c4856c83c9cb68e2852b8a.png"/><Relationship Id="rId16" Type="http://schemas.openxmlformats.org/officeDocument/2006/relationships/image" Target="media/5fa201d9ecbb37e4faf850db3f19d57cea93cdc5.png"/><Relationship Id="rId17" Type="http://schemas.openxmlformats.org/officeDocument/2006/relationships/image" Target="media/b2417cea606b78a4ea861ddc32ca5d6c2d6c675b.png"/><Relationship Id="rId18" Type="http://schemas.openxmlformats.org/officeDocument/2006/relationships/image" Target="media/35e703cc39943e6a72b9b2704b2fde0140777e36.png"/><Relationship Id="rId19" Type="http://schemas.openxmlformats.org/officeDocument/2006/relationships/image" Target="media/6714acb2ddd9648ffc8060348c8e3d7954902fa8.png"/><Relationship Id="rId20" Type="http://schemas.openxmlformats.org/officeDocument/2006/relationships/image" Target="media/a0bcd9e29ba70d555c1639cef868c237cc0f9366.png"/><Relationship Id="rId21" Type="http://schemas.openxmlformats.org/officeDocument/2006/relationships/image" Target="media/0bedda97c8bcf2f89bad07d0dc0db15d8c2023a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A1005-261 Interim Report</dc:title>
  <dc:creator>Tay Juen Jie</dc:creator>
  <cp:lastModifiedBy>Un-named</cp:lastModifiedBy>
  <cp:revision>1</cp:revision>
  <dcterms:created xsi:type="dcterms:W3CDTF">2026-10-29T06:11:40.985Z</dcterms:created>
  <dcterms:modified xsi:type="dcterms:W3CDTF">2026-10-29T06:11:40.985Z</dcterms:modified>
</cp:coreProperties>
</file>

<file path=docProps/custom.xml><?xml version="1.0" encoding="utf-8"?>
<Properties xmlns="http://schemas.openxmlformats.org/officeDocument/2006/custom-properties" xmlns:vt="http://schemas.openxmlformats.org/officeDocument/2006/docPropsVTypes"/>
</file>