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them with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000"/>
        <w:gridCol w:w="3200"/>
        <w:gridCol w:w="32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2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4.5)</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2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 3D point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144000" cy="589597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5895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and success rules, written before tuning</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on the same 20 layouts in the same order.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1800"/>
        <w:gridCol w:w="33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18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18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771650"/>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716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4.2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line="264"/>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762375"/>
            <wp:effectExtent t="0" r="0" b="0" l="0"/>
            <wp:docPr id="1" name="archa.png" descr="Architecture A, the version that ran on 21 October 2026. (a) Perception turns pixels into points in the robot base frame. (b) The planner calls one tool per turn, and each motion is check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623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A, the version that ran on 21 October 2026. (a) Perception turns pixels into points in the robot base frame. (b) The planner calls one tool per turn, and each motion is checked.</w:t>
      </w:r>
    </w:p>
    <w:p>
      <w:pPr>
        <w:pStyle w:val="Heading2"/>
      </w:pPr>
      <w:r>
        <w:t xml:space="preserve">4.4 Grasp failures and diagnosis</w:t>
      </w:r>
    </w:p>
    <w:p>
      <w:pPr>
        <w:spacing w:after="120" w:line="264"/>
        <w:jc w:val="both"/>
      </w:pPr>
      <w:r>
        <w:t xml:space="preserve">The first picks on the real arm, on 1 and 13 October, all missed (Figure 4a). Three observations narrowed the search, and they pointed to two causes (Figure 5).</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4572000" cy="2600325"/>
            <wp:effectExtent t="0" r="0" b="0" l="0"/>
            <wp:docPr id="1" name="runs.png" descr="Runs on the real arm, from phone video. (a) A failed pick before the fixes: the fingers close behind the orange. (b) The full pick and place of 21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003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Runs on the real arm, from phone video. (a) A failed pick before the fixes: the fingers close behind the orange. (b) The full pick and place of 21 October 2026.</w:t>
      </w:r>
    </w:p>
    <w:p>
      <w:pPr>
        <w:keepNext/>
        <w:spacing w:after="60" w:before="120"/>
        <w:jc w:val="center"/>
      </w:pPr>
      <w:r>
        <w:drawing>
          <wp:inline distT="0" distB="0" distL="0" distR="0">
            <wp:extent cx="5715000" cy="1447800"/>
            <wp:effectExtent t="0" r="0" b="0" l="0"/>
            <wp:docPr id="1" name="diag.png" descr="From observations to causes and fix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4478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From observations to causes and fixes.</w:t>
      </w:r>
    </w:p>
    <w:p>
      <w:pPr>
        <w:spacing w:after="120" w:line="264"/>
        <w:jc w:val="both"/>
      </w:pPr>
      <w:r>
        <w:rPr>
          <w:b/>
          <w:bCs/>
        </w:rPr>
        <w:t xml:space="preserve">Cause 1 was a wrong depth point.</w:t>
      </w:r>
      <w:r>
        <w:t xml:space="preserve">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6). </w:t>
      </w:r>
      <w:r>
        <w:rPr>
          <w:b/>
          <w:bCs/>
        </w:rPr>
        <w:t xml:space="preserve">Fix 1</w:t>
      </w:r>
      <w:r>
        <w:t xml:space="preserve"> uses SAM [8] to cut a mask of the object inside the box. The point now comes from the mask, so the depth lands on the object.</w:t>
      </w:r>
    </w:p>
    <w:p>
      <w:pPr>
        <w:keepNext/>
        <w:spacing w:after="60" w:before="120"/>
        <w:jc w:val="center"/>
      </w:pPr>
      <w:r>
        <w:drawing>
          <wp:inline distT="0" distB="0" distL="0" distR="0">
            <wp:extent cx="4286250" cy="2190750"/>
            <wp:effectExtent t="0" r="0" b="0" l="0"/>
            <wp:docPr id="1" name="depthfig.png" descr="Why the box depth put the target behind the object, drawn along the camera line of sight. The SAM mask keeps the depth on the objec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1907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Why the box depth put the target behind the object, drawn along the camera line of sight. The SAM mask keeps the depth on the object.</w:t>
      </w:r>
    </w:p>
    <w:p>
      <w:pPr>
        <w:spacing w:after="120" w:line="264"/>
        <w:jc w:val="both"/>
      </w:pPr>
      <w:r>
        <w:rPr>
          <w:b/>
          <w:bCs/>
        </w:rPr>
        <w:t xml:space="preserve">Cause 2 was a biased camera to base transform.</w:t>
      </w:r>
      <w:r>
        <w:t xml:space="preserve"> Section 4.5 explains how the transform is fitted. A shift that is the same at every fitting pose does not raise the fit residual, so the residual cannot reveal it. </w:t>
      </w:r>
      <w:r>
        <w:rPr>
          <w:b/>
          <w:bCs/>
        </w:rPr>
        <w:t xml:space="preserve">Fix 2</w:t>
      </w:r>
      <w:r>
        <w:t xml:space="preserve"> is a reach test with keyboard jog, run after every calibration fit. The arm hovers 2 cm above a thin pen cross on the table. I jog it with the keyboard until the point between the fingertips is over the cross. The miss is then read from the robot over RTDE.</w:t>
      </w:r>
    </w:p>
    <w:p>
      <w:pPr>
        <w:pStyle w:val="Heading2"/>
      </w:pPr>
      <w:r>
        <w:t xml:space="preserve">4.5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line="264"/>
        <w:jc w:val="both"/>
      </w:pPr>
      <w:r>
        <w:t xml:space="preserve">On 21 October 2026 the new Architecture A ran from speech to a full pick and place for the first time (Figure 4b). Table 7 follows the trace of the clean run, which took 31.2 s in all. The spoken instruction was </w:t>
      </w:r>
      <w:r>
        <w:rPr>
          <w:i/>
          <w:iCs/>
        </w:rPr>
        <w:t xml:space="preserve">"Pick up the orange and place it in the red tray."</w:t>
      </w:r>
      <w:r>
        <w:t xml:space="preserve"> The pick check saw the orange 43 mm from the tool centre point, inside the 50 mm limit, so it reported the orange held. The place check saw the orange 162 mm from the tool, so it reported the orange released. I judged both steps correct at the bench.</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9050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4.7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Run the 20-trial Tier 0 run through the harness in December 2026,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line="264"/>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40386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386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line="264"/>
        <w:jc w:val="both"/>
      </w:pPr>
      <w:r>
        <w:t xml:space="preserve">Three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Each change to the frozen suite is in its changelog, with the same layouts kept.</w:t>
      </w:r>
    </w:p>
    <w:p>
      <w:pPr>
        <w:pStyle w:val="Heading2"/>
      </w:pPr>
      <w:r>
        <w:t xml:space="preserve">5.4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3000"/>
        <w:gridCol w:w="4026"/>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40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40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5.5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71700"/>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717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6.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9fefe2f87eb3a803904ea18a423018c354891965.png"/><Relationship Id="rId14" Type="http://schemas.openxmlformats.org/officeDocument/2006/relationships/image" Target="media/fd987d52138a96a8ac3f704ddf7a3c7219ea4e1d.png"/><Relationship Id="rId15" Type="http://schemas.openxmlformats.org/officeDocument/2006/relationships/image" Target="media/1576691cb5c17c30b0c4856c83c9cb68e2852b8a.png"/><Relationship Id="rId16" Type="http://schemas.openxmlformats.org/officeDocument/2006/relationships/image" Target="media/5fa201d9ecbb37e4faf850db3f19d57cea93cdc5.png"/><Relationship Id="rId17" Type="http://schemas.openxmlformats.org/officeDocument/2006/relationships/image" Target="media/b2417cea606b78a4ea861ddc32ca5d6c2d6c675b.png"/><Relationship Id="rId18" Type="http://schemas.openxmlformats.org/officeDocument/2006/relationships/image" Target="media/e7a5e5b35b43b85933f5309beba0a94b7c4207ba.png"/><Relationship Id="rId19" Type="http://schemas.openxmlformats.org/officeDocument/2006/relationships/image" Target="media/6714acb2ddd9648ffc8060348c8e3d7954902fa8.png"/><Relationship Id="rId20" Type="http://schemas.openxmlformats.org/officeDocument/2006/relationships/image" Target="media/a0bcd9e29ba70d555c1639cef868c237cc0f9366.png"/><Relationship Id="rId21" Type="http://schemas.openxmlformats.org/officeDocument/2006/relationships/image" Target="media/0bedda97c8bcf2f89bad07d0dc0db15d8c2023a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2026-10-29T05:44:23.229Z</dcterms:created>
  <dcterms:modified xsi:type="dcterms:W3CDTF">2026-10-29T05:44:23.230Z</dcterms:modified>
</cp:coreProperties>
</file>

<file path=docProps/custom.xml><?xml version="1.0" encoding="utf-8"?>
<Properties xmlns="http://schemas.openxmlformats.org/officeDocument/2006/custom-properties" xmlns:vt="http://schemas.openxmlformats.org/officeDocument/2006/docPropsVTypes"/>
</file>