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[fill in]</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Examiner</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[fill in]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[submission date]</w:t>
            </w:r>
            <w:r>
              <w:rPr>
                <w:rFonts w:ascii="Arial" w:cs="Arial" w:eastAsia="Arial" w:hAnsi="Arial"/>
                <w:sz w:val="21"/>
                <w:szCs w:val="21"/>
              </w:rPr>
              <w:t xml:space="preserve">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jc w:val="both"/>
      </w:pPr>
      <w:r>
        <w:t xml:space="preserve">Each objective has a condition that can be checked. Table 1 lists them with their status on 29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3200"/>
        <w:gridCol w:w="3226"/>
      </w:tblGrid>
      <w:tr>
        <w:trPr>
          <w:tblHeader/>
        </w:trPr>
        <w:tc>
          <w:tcPr>
            <w:tcW w:type="dxa" w:w="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ID</w:t>
            </w:r>
          </w:p>
        </w:tc>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Objective</w:t>
            </w:r>
          </w:p>
        </w:tc>
        <w:tc>
          <w:tcPr>
            <w:tcW w:type="dxa" w:w="32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Done when</w:t>
            </w:r>
          </w:p>
        </w:tc>
        <w:tc>
          <w:tcPr>
            <w:tcW w:type="dxa" w:w="32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Status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Calibrated cell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Camera to base transform fitted, then checked by a reach test, with the error in mm</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Done 21 Oct 2026. Reach error 2 to 7 mm after correction (Section 4.5)</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Architecture A on Tier 0</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70% success over 20 trials, spoken input</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First full pick and place on 21 Oct 2026. 20-trial run: </w:t>
            </w:r>
            <w:r>
              <w:rPr>
                <w:rFonts w:ascii="Arial" w:cs="Arial" w:eastAsia="Arial" w:hAnsi="Arial"/>
                <w:sz w:val="17"/>
                <w:szCs w:val="17"/>
                <w:highlight w:val="yellow"/>
                <w:highlightCs w:val="yellow"/>
              </w:rPr>
              <w:t xml:space="preserve">[fill in]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dataset</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50 real episodes per task that load in LeRobot</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Recorder and exporter written. Recording starts after the exams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Architecture B on Tier 0</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50% success over 20 trials, behind the safety envelope</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Robot side written. Training starts in January 2027</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Evaluation harness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Frozen task suite, per-trial log, imports neither architecture</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Done 11 Aug 2026</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Comparison result</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architectures run through the harness on every attempted tier</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Planned for February 2027</w:t>
            </w:r>
          </w:p>
        </w:tc>
      </w:tr>
    </w:tbl>
    <w:p>
      <w:pPr>
        <w:spacing w:after="200" w:before="80"/>
      </w:pPr>
      <w:r>
        <w:rPr>
          <w:b/>
          <w:bCs/>
          <w:sz w:val="19"/>
          <w:szCs w:val="19"/>
        </w:rPr>
        <w:t xml:space="preserve">Table 1. </w:t>
      </w:r>
      <w:r>
        <w:rPr>
          <w:sz w:val="19"/>
          <w:szCs w:val="19"/>
        </w:rPr>
        <w:t xml:space="preserve">Technical objectives and their status.</w:t>
      </w:r>
    </w:p>
    <w:p>
      <w:pPr>
        <w:pStyle w:val="Heading2"/>
      </w:pPr>
      <w:r>
        <w:t xml:space="preserve">1.4 Scope</w:t>
      </w:r>
    </w:p>
    <w:p>
      <w:pPr>
        <w:spacing w:after="120"/>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Work</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What it does</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Limitation or role for this project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Shan and Cheah [1]</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GPT-4o agent with a bank of five skills on a UR5e, applied to power cable manipulation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Claims modular flexibility beyond a VLA, but runs no VLA baseline. Closed-vocabulary detector trained on 30 images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Code as Policies [2]</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An LLM writes programs that call perception and control functions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No training needed. The current stage of Architecture 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KnowNo [3]</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Conformal prediction tells an LLM planner when to ask for help</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Credits prior work on asking. This project measures the cost of not asking</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AgenticLab [4]</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Closed-loop vision-language agent on a UR5e. Also beats a fine-tuned π0.5 VLA on two tasks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Closest work to the completed project. Its VLA test is a side experiment, while here the comparison is the main study</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BayesianVLA [5]</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Shows VLAs can ignore the instruction and act on the image alone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Backs the prediction for B in the ambiguous tier</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SmolVLA [6]</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Compact VLA of about 450 million parameters that outputs chunks of 50 actions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model fine-tuned for Architecture B</w:t>
            </w:r>
          </w:p>
        </w:tc>
      </w:tr>
    </w:tbl>
    <w:p>
      <w:pPr>
        <w:spacing w:after="200" w:before="80"/>
      </w:pPr>
      <w:r>
        <w:rPr>
          <w:b/>
          <w:bCs/>
          <w:sz w:val="19"/>
          <w:szCs w:val="19"/>
        </w:rPr>
        <w:t xml:space="preserve">Table 2. </w:t>
      </w:r>
      <w:r>
        <w:rPr>
          <w:sz w:val="19"/>
          <w:szCs w:val="19"/>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jc w:val="both"/>
      </w:pPr>
      <w:r>
        <w:t xml:space="preserve">Figure 1 shows both architectures on one cell. A shared speech front end, faster-whisper large-v3 behind push-to-talk, turns the spoken command into one transcript. Both architectures receive that same transcript. Architecture A is an LLM planner that calls tools one at a time. Its perception chain is OWLv2 [7] for open-vocabulary detection, SAM [8] for an object mask, and depth from the fixed camera for a 3D point in the robot base frame. Architecture B is SmolVLA [6]. It reads two camera views, the robot state and the transcript, and outputs chunks of 50 small changes of the tool pose. Both send every motion through the same safety envelope and the same controller. A snowflake marks a pretrained part used as it is. A flame marks a part trained on our demonstrations, and only Architecture B has one.</w:t>
      </w:r>
    </w:p>
    <w:p>
      <w:pPr>
        <w:keepNext/>
        <w:spacing w:after="60" w:before="120"/>
        <w:jc w:val="center"/>
      </w:pPr>
      <w:r>
        <w:drawing>
          <wp:inline distT="0" distB="0" distL="0" distR="0">
            <wp:extent cx="5715000" cy="3733800"/>
            <wp:effectExtent t="0" r="0" b="0" l="0"/>
            <wp:docPr id="1" name="full.png" descr="Both architectures on the same cell. (a) One speech front end gives both the same transcript. (b) Architecture A plans one tool at a time. (c) Architecture B maps images, state and text to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left"/>
      </w:pPr>
      <w:r>
        <w:rPr>
          <w:b/>
          <w:bCs/>
          <w:sz w:val="19"/>
          <w:szCs w:val="19"/>
        </w:rPr>
        <w:t xml:space="preserve">Figure 1. </w:t>
      </w:r>
      <w:r>
        <w:rPr>
          <w:sz w:val="19"/>
          <w:szCs w:val="19"/>
        </w:rPr>
        <w:t xml:space="preserve">Both architectures on the same cell. (a) One speech front end gives both the same transcript. (b) Architecture A plans one tool at a time. (c) Architecture B maps images, state and text to an action chunk. (d) Both pass through the same envelope and controller.</w:t>
      </w:r>
    </w:p>
    <w:p>
      <w:pPr>
        <w:pStyle w:val="Heading2"/>
      </w:pPr>
      <w:r>
        <w:t xml:space="preserve">3.2 Fairness in comparison</w:t>
      </w:r>
    </w:p>
    <w:p>
      <w:pPr>
        <w:spacing w:after="120"/>
        <w:jc w:val="both"/>
      </w:pPr>
      <w:r>
        <w:t xml:space="preserve">The result is only worth something if both architectures get the same problem. Five things are held the same, and each is enforced in code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Control</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What is the same</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How it is enforced</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cell</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One UR5e, one OnRobot RG2 gripper, one fixed RGB-D camera, one table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Every tunable value lives in one configuration file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shared stages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One speech front end, one controller, one safety envelope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Code is shared only if both architectures use it at run time. A test checks the imports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action space</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change of tool pose in the base frame plus a gripper target, seven numbers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B's step limit is derived from A's speed ceiling, and a test checks that they agree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frozen tests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Tiers, spoken commands, 20 layouts and success rules, written before tuning</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suite file is frozen. Any change gets a dated entry in its changelog and is declared in the report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Blind harness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Trials run through one call, run(instruction) to outcome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harness imports neither architecture, and a test enforces it</w:t>
            </w:r>
          </w:p>
        </w:tc>
      </w:tr>
    </w:tbl>
    <w:p>
      <w:pPr>
        <w:spacing w:after="200" w:before="80"/>
      </w:pPr>
      <w:r>
        <w:rPr>
          <w:b/>
          <w:bCs/>
          <w:sz w:val="19"/>
          <w:szCs w:val="19"/>
        </w:rPr>
        <w:t xml:space="preserve">Table 3. </w:t>
      </w:r>
      <w:r>
        <w:rPr>
          <w:sz w:val="19"/>
          <w:szCs w:val="19"/>
        </w:rPr>
        <w:t xml:space="preserve">The five controls that keep the comparison fair.</w:t>
      </w:r>
    </w:p>
    <w:p>
      <w:pPr>
        <w:pStyle w:val="Heading2"/>
      </w:pPr>
      <w:r>
        <w:t xml:space="preserve">3.3 Known differences</w:t>
      </w:r>
    </w:p>
    <w:p>
      <w:pPr>
        <w:spacing w:after="120"/>
        <w:jc w:val="both"/>
      </w:pPr>
      <w:r>
        <w:t xml:space="preserve">Two differences cannot be removed. Table 4 states them and how each is handled, so that a reader can weigh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Difference</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Why it exists</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How I handle it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Extra wrist camera</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Reference SmolVLA setups use an overhead view plus a wrist view. A uses depth from the fixed camera, which B cannot read</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Each side gets the sensors its design needs. Nothing depends on wrist depth, and the report states the bias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Prior knowledge vs demos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carries knowledge in its pretrained LLM, its detector and its hand-written skills. B learns from about 50 demonstrations per task</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costs are logged and shown side by side: A's hours, lines of code and API cost, and B's episodes, lab hours and GPU hours</w:t>
            </w:r>
          </w:p>
        </w:tc>
      </w:tr>
    </w:tbl>
    <w:p>
      <w:pPr>
        <w:spacing w:after="200" w:before="80"/>
      </w:pPr>
      <w:r>
        <w:rPr>
          <w:b/>
          <w:bCs/>
          <w:sz w:val="19"/>
          <w:szCs w:val="19"/>
        </w:rPr>
        <w:t xml:space="preserve">Table 4. </w:t>
      </w:r>
      <w:r>
        <w:rPr>
          <w:sz w:val="19"/>
          <w:szCs w:val="19"/>
        </w:rPr>
        <w:t xml:space="preserve">Known differences between the architectures.</w:t>
      </w:r>
    </w:p>
    <w:p>
      <w:pPr>
        <w:pStyle w:val="Heading2"/>
      </w:pPr>
      <w:r>
        <w:t xml:space="preserve">3.4 Task suite and predictions</w:t>
      </w:r>
    </w:p>
    <w:p>
      <w:pPr>
        <w:spacing w:after="120"/>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3300"/>
        <w:gridCol w:w="3326"/>
      </w:tblGrid>
      <w:tr>
        <w:trPr>
          <w:tblHeader/>
        </w:trPr>
        <w:tc>
          <w:tcPr>
            <w:tcW w:type="dxa" w:w="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Tier</w:t>
            </w:r>
          </w:p>
        </w:tc>
        <w:tc>
          <w:tcPr>
            <w:tcW w:type="dxa" w:w="18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Task</w:t>
            </w:r>
          </w:p>
        </w:tc>
        <w:tc>
          <w:tcPr>
            <w:tcW w:type="dxa" w:w="33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Example command</w:t>
            </w:r>
          </w:p>
        </w:tc>
        <w:tc>
          <w:tcPr>
            <w:tcW w:type="dxa" w:w="33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Prediction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Static pick and place</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"Place that orange into that red container"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succeed. Checks the wiring only</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Pouring</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 the orange juice into the glass"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may win. The tilt is hard to script</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Ambiguous command</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 me a drink" with two drinks on the table</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should win. It can ask, and B falls back on its training data</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Dynamic drawer</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"Put the snack in the drawer", and a person closes the drawer mid-task</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may win. It reacts at 20 Hz without a plan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4</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Generalisation</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Objects and phrasings never seen before</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should win. Its detector is open-vocabulary</w:t>
            </w:r>
          </w:p>
        </w:tc>
      </w:tr>
    </w:tbl>
    <w:p>
      <w:pPr>
        <w:spacing w:after="200" w:before="80"/>
      </w:pPr>
      <w:r>
        <w:rPr>
          <w:b/>
          <w:bCs/>
          <w:sz w:val="19"/>
          <w:szCs w:val="19"/>
        </w:rPr>
        <w:t xml:space="preserve">Table 5. </w:t>
      </w:r>
      <w:r>
        <w:rPr>
          <w:sz w:val="19"/>
          <w:szCs w:val="19"/>
        </w:rPr>
        <w:t xml:space="preserve">Task tiers and the prediction for each.</w:t>
      </w:r>
    </w:p>
    <w:p>
      <w:pPr>
        <w:spacing w:after="120"/>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628775"/>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628775"/>
                    </a:xfrm>
                    <a:prstGeom prst="rect">
                      <a:avLst/>
                    </a:prstGeom>
                  </pic:spPr>
                </pic:pic>
              </a:graphicData>
            </a:graphic>
          </wp:inline>
        </w:drawing>
      </w:r>
    </w:p>
    <w:p>
      <w:pPr>
        <w:spacing w:after="200"/>
        <w:jc w:val="left"/>
      </w:pPr>
      <w:r>
        <w:rPr>
          <w:b/>
          <w:bCs/>
          <w:sz w:val="19"/>
          <w:szCs w:val="19"/>
        </w:rPr>
        <w:t xml:space="preserve">Figure 2. </w:t>
      </w:r>
      <w:r>
        <w:rPr>
          <w:sz w:val="19"/>
          <w:szCs w:val="19"/>
        </w:rPr>
        <w:t xml:space="preserve">Simulation used before the semester. (a) MuJoCo with the UR5e and Robotiq 2F-85 models. (b) URSim running the PolyScope interface.</w:t>
      </w:r>
    </w:p>
    <w:p>
      <w:pPr>
        <w:pStyle w:val="Heading2"/>
      </w:pPr>
      <w:r>
        <w:t xml:space="preserve">4.2 Software in Weeks 1 to 5</w:t>
      </w:r>
    </w:p>
    <w:p>
      <w:pPr>
        <w:spacing w:after="120"/>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609975"/>
            <wp:effectExtent t="0" r="0" b="0" l="0"/>
            <wp:docPr id="1" name="archa.png" descr="Architecture A as it ran on 21 October 2026. (a) Perception turns pixels into points in the robot base frame. (b) The planner calls one tool per turn, and each motion is checked. The values and times come from the trace of that ru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09975"/>
                    </a:xfrm>
                    <a:prstGeom prst="rect">
                      <a:avLst/>
                    </a:prstGeom>
                  </pic:spPr>
                </pic:pic>
              </a:graphicData>
            </a:graphic>
          </wp:inline>
        </w:drawing>
      </w:r>
    </w:p>
    <w:p>
      <w:pPr>
        <w:spacing w:after="200"/>
        <w:jc w:val="left"/>
      </w:pPr>
      <w:r>
        <w:rPr>
          <w:b/>
          <w:bCs/>
          <w:sz w:val="19"/>
          <w:szCs w:val="19"/>
        </w:rPr>
        <w:t xml:space="preserve">Figure 3. </w:t>
      </w:r>
      <w:r>
        <w:rPr>
          <w:sz w:val="19"/>
          <w:szCs w:val="19"/>
        </w:rPr>
        <w:t xml:space="preserve">Architecture A as it ran on 21 October 2026. (a) Perception turns pixels into points in the robot base frame. (b) The planner calls one tool per turn, and each motion is checked. The values and times come from the trace of that run.</w:t>
      </w:r>
    </w:p>
    <w:p>
      <w:pPr>
        <w:pStyle w:val="Heading2"/>
      </w:pPr>
      <w:r>
        <w:t xml:space="preserve">4.4 Grasp failures and diagnosis</w:t>
      </w:r>
    </w:p>
    <w:p>
      <w:pPr>
        <w:spacing w:after="120"/>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5241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24125"/>
                    </a:xfrm>
                    <a:prstGeom prst="rect">
                      <a:avLst/>
                    </a:prstGeom>
                  </pic:spPr>
                </pic:pic>
              </a:graphicData>
            </a:graphic>
          </wp:inline>
        </w:drawing>
      </w:r>
    </w:p>
    <w:p>
      <w:pPr>
        <w:spacing w:after="200"/>
        <w:jc w:val="left"/>
      </w:pPr>
      <w:r>
        <w:rPr>
          <w:b/>
          <w:bCs/>
          <w:sz w:val="19"/>
          <w:szCs w:val="19"/>
        </w:rPr>
        <w:t xml:space="preserve">Figure 4. </w:t>
      </w:r>
      <w:r>
        <w:rPr>
          <w:sz w:val="19"/>
          <w:szCs w:val="19"/>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35255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352550"/>
                    </a:xfrm>
                    <a:prstGeom prst="rect">
                      <a:avLst/>
                    </a:prstGeom>
                  </pic:spPr>
                </pic:pic>
              </a:graphicData>
            </a:graphic>
          </wp:inline>
        </w:drawing>
      </w:r>
    </w:p>
    <w:p>
      <w:pPr>
        <w:spacing w:after="200"/>
        <w:jc w:val="left"/>
      </w:pPr>
      <w:r>
        <w:rPr>
          <w:b/>
          <w:bCs/>
          <w:sz w:val="19"/>
          <w:szCs w:val="19"/>
        </w:rPr>
        <w:t xml:space="preserve">Figure 5. </w:t>
      </w:r>
      <w:r>
        <w:rPr>
          <w:sz w:val="19"/>
          <w:szCs w:val="19"/>
        </w:rPr>
        <w:t xml:space="preserve">From observations to causes and fixes.</w:t>
      </w:r>
    </w:p>
    <w:p>
      <w:pPr>
        <w:spacing w:after="120"/>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4286250" cy="2114550"/>
            <wp:effectExtent t="0" r="0" b="0" l="0"/>
            <wp:docPr id="1" name="depth_user.png" descr="Why the box depth put the target behind the object, drawn along the camera line of sight. The SAM mask keeps the depth on the objec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114550"/>
                    </a:xfrm>
                    <a:prstGeom prst="rect">
                      <a:avLst/>
                    </a:prstGeom>
                  </pic:spPr>
                </pic:pic>
              </a:graphicData>
            </a:graphic>
          </wp:inline>
        </w:drawing>
      </w:r>
    </w:p>
    <w:p>
      <w:pPr>
        <w:spacing w:after="200"/>
        <w:jc w:val="left"/>
      </w:pPr>
      <w:r>
        <w:rPr>
          <w:b/>
          <w:bCs/>
          <w:sz w:val="19"/>
          <w:szCs w:val="19"/>
        </w:rPr>
        <w:t xml:space="preserve">Figure 6. </w:t>
      </w:r>
      <w:r>
        <w:rPr>
          <w:sz w:val="19"/>
          <w:szCs w:val="19"/>
        </w:rPr>
        <w:t xml:space="preserve">Why the box depth put the target behind the object, drawn along the camera line of sight. The SAM mask keeps the depth on the object.</w:t>
      </w:r>
    </w:p>
    <w:p>
      <w:pPr>
        <w:spacing w:after="120"/>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300"/>
        <w:gridCol w:w="2426"/>
      </w:tblGrid>
      <w:tr>
        <w:trPr>
          <w:tblHeader/>
        </w:trPr>
        <w:tc>
          <w:tcPr>
            <w:tcW w:type="dxa" w:w="9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Date</w:t>
            </w:r>
          </w:p>
        </w:tc>
        <w:tc>
          <w:tcPr>
            <w:tcW w:type="dxa" w:w="34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Method</w:t>
            </w:r>
          </w:p>
        </w:tc>
        <w:tc>
          <w:tcPr>
            <w:tcW w:type="dxa" w:w="23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Fit result</w:t>
            </w:r>
          </w:p>
        </w:tc>
        <w:tc>
          <w:tcPr>
            <w:tcW w:type="dxa" w:w="24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Outcome on the arm</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Measured camera mount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Needed a 70 mm hand correction</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Picks missed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13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Ball fit, five fits of 12 to 34 poses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RMS 11.4 to 16.3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Picks still missed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Ball fit after the arm was moved, 39 poses, then levelled (offset 16.8 mm, tilt 2.1 degrees)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RMS 7.3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Reach test missed by 18 to 36 mm, mostly along base x</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Reach correction fitted to 4 jogged points (yaw 3.3 degrees plus a shift)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Residual 2.3 to 6.8 mm. Leave-one-out 4 to 12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3 new points needed no jog at a 2 mm step. First full pick and place</w:t>
            </w:r>
          </w:p>
        </w:tc>
      </w:tr>
    </w:tbl>
    <w:p>
      <w:pPr>
        <w:spacing w:after="200" w:before="80"/>
      </w:pPr>
      <w:r>
        <w:rPr>
          <w:b/>
          <w:bCs/>
          <w:sz w:val="19"/>
          <w:szCs w:val="19"/>
        </w:rPr>
        <w:t xml:space="preserve">Table 6. </w:t>
      </w:r>
      <w:r>
        <w:rPr>
          <w:sz w:val="19"/>
          <w:szCs w:val="19"/>
        </w:rPr>
        <w:t xml:space="preserve">Calibration history of the camera to base transform.</w:t>
      </w:r>
    </w:p>
    <w:p>
      <w:pPr>
        <w:spacing w:after="120"/>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826"/>
        <w:gridCol w:w="1200"/>
      </w:tblGrid>
      <w:tr>
        <w:trPr>
          <w:tblHeader/>
        </w:trPr>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Stage</w:t>
            </w:r>
          </w:p>
        </w:tc>
        <w:tc>
          <w:tcPr>
            <w:tcW w:type="dxa" w:w="58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What the trace records</w:t>
            </w:r>
          </w:p>
        </w:tc>
        <w:tc>
          <w:tcPr>
            <w:tcW w:type="dxa" w:w="12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Time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Grounding</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Queries "orange" and "red tray"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4.03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Perceive</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found. Orange at (0.551, −0.303, 0.206) m with score 0.79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0.74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Plan</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One call: pick the orange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1.54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Pick and check</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Grip closed at 70 mm. Orange 43 mm from the tool, so held</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9.25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Perceive and plan</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Fresh scene, then one call: place in the red tray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2.41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Place and check</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Released. Orange 162 mm from the tool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6.19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Perceive and plan</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Fresh scene, then done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4.15 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Whole run</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Operator judged both steps correct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31.2 s</w:t>
            </w:r>
          </w:p>
        </w:tc>
      </w:tr>
    </w:tbl>
    <w:p>
      <w:pPr>
        <w:spacing w:after="200" w:before="80"/>
      </w:pPr>
      <w:r>
        <w:rPr>
          <w:b/>
          <w:bCs/>
          <w:sz w:val="19"/>
          <w:szCs w:val="19"/>
        </w:rPr>
        <w:t xml:space="preserve">Table 7. </w:t>
      </w:r>
      <w:r>
        <w:rPr>
          <w:sz w:val="19"/>
          <w:szCs w:val="19"/>
        </w:rPr>
        <w:t xml:space="preserve">Trace of the clean run on 21 October 2026, stage by stage.</w:t>
      </w:r>
    </w:p>
    <w:p>
      <w:pPr>
        <w:keepNext/>
        <w:spacing w:after="60" w:before="120"/>
        <w:jc w:val="center"/>
      </w:pPr>
      <w:r>
        <w:drawing>
          <wp:inline distT="0" distB="0" distL="0" distR="0">
            <wp:extent cx="5715000" cy="18288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28800"/>
                    </a:xfrm>
                    <a:prstGeom prst="rect">
                      <a:avLst/>
                    </a:prstGeom>
                  </pic:spPr>
                </pic:pic>
              </a:graphicData>
            </a:graphic>
          </wp:inline>
        </w:drawing>
      </w:r>
    </w:p>
    <w:p>
      <w:pPr>
        <w:spacing w:after="200"/>
        <w:jc w:val="left"/>
      </w:pPr>
      <w:r>
        <w:rPr>
          <w:b/>
          <w:bCs/>
          <w:sz w:val="19"/>
          <w:szCs w:val="19"/>
        </w:rPr>
        <w:t xml:space="preserve">Figure 7. </w:t>
      </w:r>
      <w:r>
        <w:rPr>
          <w:sz w:val="19"/>
          <w:szCs w:val="19"/>
        </w:rPr>
        <w:t xml:space="preserve">Colour and aligned depth frames from the fixed camera on the real cell. The pen crosses on the table are reach-test targets.</w:t>
      </w:r>
    </w:p>
    <w:p>
      <w:pPr>
        <w:spacing w:after="120"/>
        <w:jc w:val="both"/>
      </w:pPr>
      <w:r>
        <w:rPr>
          <w:highlight w:val="yellow"/>
          <w:highlightCs w:val="yellow"/>
        </w:rPr>
        <w:t xml:space="preserve">[Tier 0 result: fill in the 20-trial success rate, the median time per trial and the failure stage of each failed trial once the run is complete.]</w:t>
      </w:r>
    </w:p>
    <w:p>
      <w:pPr>
        <w:pStyle w:val="Heading2"/>
      </w:pPr>
      <w:r>
        <w:t xml:space="preserve">4.7 Problems encountered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26"/>
      </w:tblGrid>
      <w:tr>
        <w:trPr>
          <w:tblHeader/>
        </w:trPr>
        <w:tc>
          <w:tcPr>
            <w:tcW w:type="dxa" w:w="2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Problem</w:t>
            </w:r>
          </w:p>
        </w:tc>
        <w:tc>
          <w:tcPr>
            <w:tcW w:type="dxa" w:w="2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Effect</w:t>
            </w:r>
          </w:p>
        </w:tc>
        <w:tc>
          <w:tcPr>
            <w:tcW w:type="dxa" w:w="36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Response</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Lab moved the arm and the camera</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All calibration was redone on 21 Oct</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Tripod on tape marks, a centre-pixel depth check each session, a fit and a reach test each session</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"RTDE input registers are already in use"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arm could not be driven</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Traced to a suspended script still holding the arm. The controller now disconnects on close</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held object read above the height ceiling</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command after a pick was refused</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Seen objects are now judged by the sector and the floor only</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OWLv2 scored "pink tray" below its 0.3 threshold</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destination was not found</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Tier 0 destination changed to the red container, with a dated changelog entry</w:t>
            </w:r>
          </w:p>
        </w:tc>
      </w:tr>
    </w:tbl>
    <w:p>
      <w:pPr>
        <w:spacing w:after="200" w:before="80"/>
      </w:pPr>
      <w:r>
        <w:rPr>
          <w:b/>
          <w:bCs/>
          <w:sz w:val="19"/>
          <w:szCs w:val="19"/>
        </w:rPr>
        <w:t xml:space="preserve">Table 8. </w:t>
      </w:r>
      <w:r>
        <w:rPr>
          <w:sz w:val="19"/>
          <w:szCs w:val="19"/>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Complete the 20-trial Tier 0 run through the harness,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3933825"/>
            <wp:effectExtent t="0" r="0" b="0" l="0"/>
            <wp:docPr id="1" name="archb.png" descr="Architecture B. (a) SmolVLA turns two views, the state and the instruction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33825"/>
                    </a:xfrm>
                    <a:prstGeom prst="rect">
                      <a:avLst/>
                    </a:prstGeom>
                  </pic:spPr>
                </pic:pic>
              </a:graphicData>
            </a:graphic>
          </wp:inline>
        </w:drawing>
      </w:r>
    </w:p>
    <w:p>
      <w:pPr>
        <w:spacing w:after="200"/>
        <w:jc w:val="left"/>
      </w:pPr>
      <w:r>
        <w:rPr>
          <w:b/>
          <w:bCs/>
          <w:sz w:val="19"/>
          <w:szCs w:val="19"/>
        </w:rPr>
        <w:t xml:space="preserve">Figure 8. </w:t>
      </w:r>
      <w:r>
        <w:rPr>
          <w:sz w:val="19"/>
          <w:szCs w:val="19"/>
        </w:rPr>
        <w:t xml:space="preserve">Architecture B. (a) SmolVLA turns two views, the state and the instruction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Risk</w:t>
            </w:r>
          </w:p>
        </w:tc>
        <w:tc>
          <w:tcPr>
            <w:tcW w:type="dxa" w:w="3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Effect</w:t>
            </w:r>
          </w:p>
        </w:tc>
        <w:tc>
          <w:tcPr>
            <w:tcW w:type="dxa" w:w="40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Response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coverage</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fails outside the region it was shown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Start in a small workspace, where density matters more than count, then widen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quality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Hands in view or uneven motion teach the wrong cues</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Jog device instead of hand guiding. Inspect the first five episodes before recording more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GPU memory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12 GB may not fit the SmolVLA fine-tune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Short test run on the first episodes. Then gradient accumulation, gradient checkpointing, an 8-bit optimiser or a frozen vision backbone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Calibration drift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misses, and B sees a view it was not trained on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and reach test each session. Record demonstrations across the small range of camera positions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Fair comparison</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An unequal setting biases the result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Shared modules, a frozen suite, a blind harness and a dated changelog</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Learned actions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predicted chunk can move the arm unsafely</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Speed clamp and envelope on every action. Test the e-stop recovery before any trial</w:t>
            </w:r>
          </w:p>
        </w:tc>
      </w:tr>
    </w:tbl>
    <w:p>
      <w:pPr>
        <w:spacing w:after="200" w:before="80"/>
      </w:pPr>
      <w:r>
        <w:rPr>
          <w:b/>
          <w:bCs/>
          <w:sz w:val="19"/>
          <w:szCs w:val="19"/>
        </w:rPr>
        <w:t xml:space="preserve">Table 9. </w:t>
      </w:r>
      <w:r>
        <w:rPr>
          <w:sz w:val="19"/>
          <w:szCs w:val="19"/>
        </w:rPr>
        <w:t xml:space="preserve">Risks for Semester 2 and the response to each.</w:t>
      </w:r>
    </w:p>
    <w:p>
      <w:pPr>
        <w:pStyle w:val="Heading2"/>
      </w:pPr>
      <w:r>
        <w:t xml:space="preserve">5.5 Schedule</w:t>
      </w:r>
    </w:p>
    <w:p>
      <w:pPr>
        <w:spacing w:after="120"/>
        <w:jc w:val="both"/>
      </w:pPr>
      <w:r>
        <w:t xml:space="preserve">Figure 9 shows the plan to the end of the project. The demonstrations start in the vacation after the exams.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43125"/>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spacing w:after="200"/>
        <w:jc w:val="left"/>
      </w:pPr>
      <w:r>
        <w:rPr>
          <w:b/>
          <w:bCs/>
          <w:sz w:val="19"/>
          <w:szCs w:val="19"/>
        </w:rPr>
        <w:t xml:space="preserve">Figure 9. </w:t>
      </w:r>
      <w:r>
        <w:rPr>
          <w:sz w:val="19"/>
          <w:szCs w:val="19"/>
        </w:rPr>
        <w:t xml:space="preserve">Schedule from Semester 1 Week 11 to the oral presentation in May 2027.</w:t>
      </w:r>
    </w:p>
    <w:p>
      <w:pPr>
        <w:pStyle w:val="Heading1"/>
      </w:pPr>
      <w:r>
        <w:t xml:space="preserve">6. Conclusion</w:t>
      </w:r>
    </w:p>
    <w:p>
      <w:pPr>
        <w:spacing w:after="120"/>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jc w:val="both"/>
      </w:pPr>
      <w:r>
        <w:t xml:space="preserve">The assessment is mixed. The fairness controls are written into code, and the harness has been frozen since August. The calibration still depends on an empirical correction, and the Tier 0 result is </w:t>
      </w:r>
      <w:r>
        <w:rPr>
          <w:highlight w:val="yellow"/>
          <w:highlightCs w:val="yellow"/>
        </w:rPr>
        <w:t xml:space="preserve">[pending]</w:t>
      </w:r>
      <w:r>
        <w:t xml:space="preserve">.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ee139c91c02b156b30b21cebc6a53df46aae9ea.png"/><Relationship Id="rId10" Type="http://schemas.openxmlformats.org/officeDocument/2006/relationships/image" Target="media/b729772ddc24f955a78a054495afdfe775634a05.png"/><Relationship Id="rId11" Type="http://schemas.openxmlformats.org/officeDocument/2006/relationships/image" Target="media/5d31864796f1e2d84b78d75b987c94986caadf8a.png"/><Relationship Id="rId12" Type="http://schemas.openxmlformats.org/officeDocument/2006/relationships/image" Target="media/9b3399c77fdeec126ad04b3a227d06dcf90eaf68.png"/><Relationship Id="rId13" Type="http://schemas.openxmlformats.org/officeDocument/2006/relationships/image" Target="media/d6c4ba83b21d69d74d0372738339a005906145f1.png"/><Relationship Id="rId14" Type="http://schemas.openxmlformats.org/officeDocument/2006/relationships/image" Target="media/216cdfb6d4da8c8d47dffd96916b192033d8e527.png"/><Relationship Id="rId15" Type="http://schemas.openxmlformats.org/officeDocument/2006/relationships/image" Target="media/1fccf9138b73c3ace11b2f1b0d8b4145a36ed44c.png"/><Relationship Id="rId16" Type="http://schemas.openxmlformats.org/officeDocument/2006/relationships/image" Target="media/61efdaba024772e957e9a728043b3e128d1e889f.png"/><Relationship Id="rId17" Type="http://schemas.openxmlformats.org/officeDocument/2006/relationships/image" Target="media/3b07c4f35047fb17e881cfd3299538bb0cec88b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2026-10-29T02:52:05.343Z</dcterms:created>
  <dcterms:modified xsi:type="dcterms:W3CDTF">2026-10-29T02:52:05.343Z</dcterms:modified>
</cp:coreProperties>
</file>

<file path=docProps/custom.xml><?xml version="1.0" encoding="utf-8"?>
<Properties xmlns="http://schemas.openxmlformats.org/officeDocument/2006/custom-properties" xmlns:vt="http://schemas.openxmlformats.org/officeDocument/2006/docPropsVTypes"/>
</file>