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NANYANG TECHNOLOGICAL UNIVERSITY</w:t>
      </w:r>
    </w:p>
    <w:p>
      <w:pPr>
        <w:spacing w:after="320"/>
        <w:jc w:val="center"/>
      </w:pPr>
      <w:r>
        <w:rPr>
          <w:rFonts w:ascii="Times New Roman" w:cs="Times New Roman" w:eastAsia="Times New Roman" w:hAnsi="Times New Roman"/>
          <w:sz w:val="22"/>
          <w:szCs w:val="22"/>
        </w:rPr>
        <w:t xml:space="preserve">School of Electrical and Electronic Engineering</w:t>
      </w:r>
    </w:p>
    <w:p>
      <w:pPr>
        <w:spacing w:after="100"/>
        <w:jc w:val="center"/>
      </w:pPr>
      <w:r>
        <w:rPr>
          <w:rFonts w:ascii="Times New Roman" w:cs="Times New Roman" w:eastAsia="Times New Roman" w:hAnsi="Times New Roman"/>
          <w:b/>
          <w:bCs/>
          <w:color w:val="1F3864"/>
          <w:sz w:val="26"/>
          <w:szCs w:val="26"/>
        </w:rPr>
        <w:t xml:space="preserve">Final Year Project: Project Plan and Strategy</w:t>
      </w:r>
    </w:p>
    <w:p>
      <w:pPr>
        <w:pBdr>
          <w:bottom w:val="single" w:color="1F3864" w:sz="6" w:space="8"/>
        </w:pBdr>
        <w:spacing w:after="320"/>
        <w:jc w:val="center"/>
      </w:pPr>
      <w:r>
        <w:rPr>
          <w:rFonts w:ascii="Times New Roman" w:cs="Times New Roman" w:eastAsia="Times New Roman" w:hAnsi="Times New Roman"/>
          <w:b/>
          <w:bCs/>
          <w:sz w:val="28"/>
          <w:szCs w:val="28"/>
        </w:rPr>
        <w:t xml:space="preserve">Modular vs. End-to-End Vision-Language-Action Models for Embodied Robotic Manipulation</w:t>
      </w:r>
    </w:p>
    <w:tbl>
      <w:tblPr>
        <w:tblW w:type="dxa" w:w="8300"/>
        <w:tblBorders>
          <w:top w:val="single" w:color="808080" w:sz="2"/>
          <w:left w:val="single" w:color="808080" w:sz="2"/>
          <w:bottom w:val="single" w:color="808080" w:sz="2"/>
          <w:right w:val="single" w:color="808080" w:sz="2"/>
          <w:insideH w:val="single" w:color="808080" w:sz="2"/>
          <w:insideV w:val="single" w:color="808080" w:sz="2"/>
        </w:tblBorders>
      </w:tblPr>
      <w:tblGrid>
        <w:gridCol w:w="2200"/>
        <w:gridCol w:w="6100"/>
      </w:tblGrid>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Project code</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A1005-261</w:t>
            </w:r>
          </w:p>
        </w:tc>
      </w:tr>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Student</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Tay Juen Jie</w:t>
            </w:r>
          </w:p>
        </w:tc>
      </w:tr>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Supervisor</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Assoc Prof Cheah Chien Chern, School of EEE</w:t>
            </w:r>
          </w:p>
        </w:tc>
      </w:tr>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Laboratory</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Robotics I (to be confirmed)</w:t>
            </w:r>
          </w:p>
        </w:tc>
      </w:tr>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Project cycle</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AY2026 Semester 1 to AY2027 Semester 2 (Aug 2026 to May 2027)</w:t>
            </w:r>
          </w:p>
        </w:tc>
      </w:tr>
      <w:tr>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Date of this plan</w:t>
            </w:r>
          </w:p>
        </w:tc>
        <w:tc>
          <w:tcPr>
            <w:tcW w:type="dxa" w:w="6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14 September 2026</w:t>
            </w:r>
          </w:p>
        </w:tc>
      </w:tr>
    </w:tbl>
    <w:p>
      <w:pPr>
        <w:spacing w:after="240" w:before="0" w:line="276"/>
        <w:jc w:val="both"/>
      </w:pPr>
      <w:r>
        <w:rPr>
          <w:rFonts w:ascii="Times New Roman" w:cs="Times New Roman" w:eastAsia="Times New Roman" w:hAnsi="Times New Roman"/>
          <w:b w:val="false"/>
          <w:bCs w:val="false"/>
          <w:i w:val="false"/>
          <w:iCs w:val="false"/>
          <w:sz w:val="24"/>
          <w:szCs w:val="24"/>
        </w:rPr>
        <w:t xml:space="preserve"/>
      </w:r>
    </w:p>
    <w:p>
      <w:pPr>
        <w:pStyle w:val="Heading1"/>
        <w:spacing w:after="160" w:before="320"/>
      </w:pPr>
      <w:r>
        <w:rPr>
          <w:rFonts w:ascii="Times New Roman" w:cs="Times New Roman" w:eastAsia="Times New Roman" w:hAnsi="Times New Roman"/>
          <w:b/>
          <w:bCs/>
          <w:color w:val="1F3864"/>
          <w:sz w:val="28"/>
          <w:szCs w:val="28"/>
        </w:rPr>
        <w:t xml:space="preserve">1.  Aim and Objectives</w:t>
      </w:r>
    </w:p>
    <w:p>
      <w:pPr>
        <w:pStyle w:val="Heading2"/>
        <w:spacing w:after="120" w:before="240"/>
      </w:pPr>
      <w:r>
        <w:rPr>
          <w:rFonts w:ascii="Times New Roman" w:cs="Times New Roman" w:eastAsia="Times New Roman" w:hAnsi="Times New Roman"/>
          <w:b/>
          <w:bCs/>
          <w:color w:val="2E5496"/>
          <w:sz w:val="24"/>
          <w:szCs w:val="24"/>
        </w:rPr>
        <w:t xml:space="preserve">1.1  Aim</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aim of this project is to compare two architectures for spoken natural-language control of a UR5e manipulator, on the same physical cell and against the same task suite, and to report the strengths and weaknesses of each. The user speaks a command, for example </w:t>
      </w:r>
      <w:r>
        <w:rPr>
          <w:rFonts w:ascii="Times New Roman" w:cs="Times New Roman" w:eastAsia="Times New Roman" w:hAnsi="Times New Roman"/>
          <w:b w:val="false"/>
          <w:bCs w:val="false"/>
          <w:i/>
          <w:iCs/>
          <w:sz w:val="24"/>
          <w:szCs w:val="24"/>
        </w:rPr>
        <w:t xml:space="preserve">"place that red cube into that metal tray"</w:t>
      </w:r>
      <w:r>
        <w:rPr>
          <w:rFonts w:ascii="Times New Roman" w:cs="Times New Roman" w:eastAsia="Times New Roman" w:hAnsi="Times New Roman"/>
          <w:b w:val="false"/>
          <w:bCs w:val="false"/>
          <w:i w:val="false"/>
          <w:iCs w:val="false"/>
          <w:sz w:val="24"/>
          <w:szCs w:val="24"/>
        </w:rPr>
        <w:t xml:space="preserve">, and the system executes it. The deliverable is the comparison, not a working robot on its own.</w:t>
      </w:r>
    </w:p>
    <w:p>
      <w:pPr>
        <w:pStyle w:val="Heading2"/>
        <w:spacing w:after="120" w:before="240"/>
      </w:pPr>
      <w:r>
        <w:rPr>
          <w:rFonts w:ascii="Times New Roman" w:cs="Times New Roman" w:eastAsia="Times New Roman" w:hAnsi="Times New Roman"/>
          <w:b/>
          <w:bCs/>
          <w:color w:val="2E5496"/>
          <w:sz w:val="24"/>
          <w:szCs w:val="24"/>
        </w:rPr>
        <w:t xml:space="preserve">1.2  Objectives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Each objective below has a condition that can be checked, so that progress is not a matter of judgement.</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Commission the physical cell. </w:t>
      </w:r>
      <w:r>
        <w:rPr>
          <w:rFonts w:ascii="Times New Roman" w:cs="Times New Roman" w:eastAsia="Times New Roman" w:hAnsi="Times New Roman"/>
          <w:b w:val="false"/>
          <w:bCs w:val="false"/>
          <w:i w:val="false"/>
          <w:iCs w:val="false"/>
          <w:sz w:val="24"/>
          <w:szCs w:val="24"/>
        </w:rPr>
        <w:t xml:space="preserve">Install a fixed RGB-D camera and a wrist RGB camera on the UR5e cell, solve the camera-to-base transform, and validate it by commanding the arm to a measured physical point and reporting the residual in millimetres.</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Implement Architecture A, the modular pipeline. </w:t>
      </w:r>
      <w:r>
        <w:rPr>
          <w:rFonts w:ascii="Times New Roman" w:cs="Times New Roman" w:eastAsia="Times New Roman" w:hAnsi="Times New Roman"/>
          <w:b w:val="false"/>
          <w:bCs w:val="false"/>
          <w:i w:val="false"/>
          <w:iCs w:val="false"/>
          <w:sz w:val="24"/>
          <w:szCs w:val="24"/>
        </w:rPr>
        <w:t xml:space="preserve">An open-vocabulary object detector, depth back-projection into three dimensions, a hand-eye transform into the robot base frame, and a large language model that plans over a schema of scripted motion primitives. Nothing in it is trained. It includes a clarification channel, so the system can ask the user a question when an instruction is under-specified.</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Implement Architecture B, the end-to-end policy. </w:t>
      </w:r>
      <w:r>
        <w:rPr>
          <w:rFonts w:ascii="Times New Roman" w:cs="Times New Roman" w:eastAsia="Times New Roman" w:hAnsi="Times New Roman"/>
          <w:b w:val="false"/>
          <w:bCs w:val="false"/>
          <w:i w:val="false"/>
          <w:iCs w:val="false"/>
          <w:sz w:val="24"/>
          <w:szCs w:val="24"/>
        </w:rPr>
        <w:t xml:space="preserve">Fine-tune SmolVLA, a compact vision-language-action model, on demonstrations recorded on the same UR5e, and drive the arm through the same controller interface behind a safety envelope. Nothing in it is hand-authored.</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Design and freeze the evaluation. </w:t>
      </w:r>
      <w:r>
        <w:rPr>
          <w:rFonts w:ascii="Times New Roman" w:cs="Times New Roman" w:eastAsia="Times New Roman" w:hAnsi="Times New Roman"/>
          <w:b w:val="false"/>
          <w:bCs w:val="false"/>
          <w:i w:val="false"/>
          <w:iCs w:val="false"/>
          <w:sz w:val="24"/>
          <w:szCs w:val="24"/>
        </w:rPr>
        <w:t xml:space="preserve">Write a tiered task suite, a layout randomisation table, a scripted set of spoken commands and a success criterion per tier, and freeze all of it before either pipeline is tuned.</w:t>
      </w:r>
    </w:p>
    <w:p>
      <w:pPr>
        <w:pStyle w:val="ListParagraph"/>
        <w:numPr>
          <w:ilvl w:val="0"/>
          <w:numId w:val="2"/>
        </w:numPr>
        <w:spacing w:after="100" w:line="276"/>
      </w:pPr>
      <w:r>
        <w:rPr>
          <w:rFonts w:ascii="Times New Roman" w:cs="Times New Roman" w:eastAsia="Times New Roman" w:hAnsi="Times New Roman"/>
          <w:b/>
          <w:bCs/>
          <w:i w:val="false"/>
          <w:iCs w:val="false"/>
          <w:sz w:val="24"/>
          <w:szCs w:val="24"/>
        </w:rPr>
        <w:t xml:space="preserve">Run the comparison and report it. </w:t>
      </w:r>
      <w:r>
        <w:rPr>
          <w:rFonts w:ascii="Times New Roman" w:cs="Times New Roman" w:eastAsia="Times New Roman" w:hAnsi="Times New Roman"/>
          <w:b w:val="false"/>
          <w:bCs w:val="false"/>
          <w:i w:val="false"/>
          <w:iCs w:val="false"/>
          <w:sz w:val="24"/>
          <w:szCs w:val="24"/>
        </w:rPr>
        <w:t xml:space="preserve">Run both architectures over the frozen suite with identical layouts and identical spoken commands, and report where each succeeds, how each fails, and what each costs in demonstration data, compute, money and engineering effort.</w:t>
      </w:r>
    </w:p>
    <w:p>
      <w:pPr>
        <w:pStyle w:val="Heading2"/>
        <w:spacing w:after="120" w:before="240"/>
      </w:pPr>
      <w:r>
        <w:rPr>
          <w:rFonts w:ascii="Times New Roman" w:cs="Times New Roman" w:eastAsia="Times New Roman" w:hAnsi="Times New Roman"/>
          <w:b/>
          <w:bCs/>
          <w:color w:val="2E5496"/>
          <w:sz w:val="24"/>
          <w:szCs w:val="24"/>
        </w:rPr>
        <w:t xml:space="preserve">1.3  Scope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Every result in this project comes from real hardware. Simulation was removed from the project on 11 August 2026 and no simulated result will be reported. Also out of scope: mobile manipulation, multi-arm work, learned grasp synthesis, training a vision-language-action model from scratch, training or fine-tuning any speech model, and always-on listening. Speech recognition is an off-the-shelf component and is used as it is, behind a push-to-talk trigger.</w:t>
      </w:r>
    </w:p>
    <w:p>
      <w:pPr>
        <w:pStyle w:val="Heading1"/>
        <w:spacing w:after="160" w:before="320"/>
      </w:pPr>
      <w:r>
        <w:rPr>
          <w:rFonts w:ascii="Times New Roman" w:cs="Times New Roman" w:eastAsia="Times New Roman" w:hAnsi="Times New Roman"/>
          <w:b/>
          <w:bCs/>
          <w:color w:val="1F3864"/>
          <w:sz w:val="28"/>
          <w:szCs w:val="28"/>
        </w:rPr>
        <w:t xml:space="preserve">2.  Background</w:t>
      </w:r>
    </w:p>
    <w:p>
      <w:pPr>
        <w:pStyle w:val="Heading2"/>
        <w:spacing w:after="120" w:before="240"/>
      </w:pPr>
      <w:r>
        <w:rPr>
          <w:rFonts w:ascii="Times New Roman" w:cs="Times New Roman" w:eastAsia="Times New Roman" w:hAnsi="Times New Roman"/>
          <w:b/>
          <w:bCs/>
          <w:color w:val="2E5496"/>
          <w:sz w:val="24"/>
          <w:szCs w:val="24"/>
        </w:rPr>
        <w:t xml:space="preserve">2.1  Two ways to turn language into robot motion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Work on natural-language control of manipulators has settled into two families. The </w:t>
      </w:r>
      <w:r>
        <w:rPr>
          <w:rFonts w:ascii="Times New Roman" w:cs="Times New Roman" w:eastAsia="Times New Roman" w:hAnsi="Times New Roman"/>
          <w:b/>
          <w:bCs/>
          <w:i w:val="false"/>
          <w:iCs w:val="false"/>
          <w:sz w:val="24"/>
          <w:szCs w:val="24"/>
        </w:rPr>
        <w:t xml:space="preserve">modular</w:t>
      </w:r>
      <w:r>
        <w:rPr>
          <w:rFonts w:ascii="Times New Roman" w:cs="Times New Roman" w:eastAsia="Times New Roman" w:hAnsi="Times New Roman"/>
          <w:b w:val="false"/>
          <w:bCs w:val="false"/>
          <w:i w:val="false"/>
          <w:iCs w:val="false"/>
          <w:sz w:val="24"/>
          <w:szCs w:val="24"/>
        </w:rPr>
        <w:t xml:space="preserve"> family places a large language model in front of a fixed library of scripted motion primitives. The model reads the instruction, chooses primitives, and fills in their arguments, while a separate perception stack supplies the coordinates. Behaviour is changed by editing prompts, schemas and primitives. The </w:t>
      </w:r>
      <w:r>
        <w:rPr>
          <w:rFonts w:ascii="Times New Roman" w:cs="Times New Roman" w:eastAsia="Times New Roman" w:hAnsi="Times New Roman"/>
          <w:b/>
          <w:bCs/>
          <w:i w:val="false"/>
          <w:iCs w:val="false"/>
          <w:sz w:val="24"/>
          <w:szCs w:val="24"/>
        </w:rPr>
        <w:t xml:space="preserve">end-to-end</w:t>
      </w:r>
      <w:r>
        <w:rPr>
          <w:rFonts w:ascii="Times New Roman" w:cs="Times New Roman" w:eastAsia="Times New Roman" w:hAnsi="Times New Roman"/>
          <w:b w:val="false"/>
          <w:bCs w:val="false"/>
          <w:i w:val="false"/>
          <w:iCs w:val="false"/>
          <w:sz w:val="24"/>
          <w:szCs w:val="24"/>
        </w:rPr>
        <w:t xml:space="preserve"> family trains a single vision-language-action model that maps camera images, robot state and an instruction string directly to actions. Behaviour is changed only by collecting more demonstrations and retraining.</w:t>
      </w:r>
    </w:p>
    <w:p>
      <w:pPr>
        <w:pStyle w:val="Heading2"/>
        <w:spacing w:after="120" w:before="240"/>
      </w:pPr>
      <w:r>
        <w:rPr>
          <w:rFonts w:ascii="Times New Roman" w:cs="Times New Roman" w:eastAsia="Times New Roman" w:hAnsi="Times New Roman"/>
          <w:b/>
          <w:bCs/>
          <w:color w:val="2E5496"/>
          <w:sz w:val="24"/>
          <w:szCs w:val="24"/>
        </w:rPr>
        <w:t xml:space="preserve">2.2  Related work</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Shan and Cheah [1] give a recent instance of the modular design and are the direct anchor for this project. Their system pairs a GPT-4o communication agent with a physical agent holding a skill bank of five primitives on a UR5e, and applies it to power cable manipulation. Perception is a closed-vocabulary detector fine-tuned on thirty labelled images, and the language-to-robot interface is keyword scraping from free text. The evidence offered is one qualitative time-lapse demonstration, with no baseline and no numbers. Their discussion asserts that a modular skill-bank design is more flexible than a single end-to-end model. </w:t>
      </w:r>
      <w:r>
        <w:rPr>
          <w:rFonts w:ascii="Times New Roman" w:cs="Times New Roman" w:eastAsia="Times New Roman" w:hAnsi="Times New Roman"/>
          <w:b/>
          <w:bCs/>
          <w:i w:val="false"/>
          <w:iCs w:val="false"/>
          <w:sz w:val="24"/>
          <w:szCs w:val="24"/>
        </w:rPr>
        <w:t xml:space="preserve">That assertion is never tested, and testing it is what this project does.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On the end-to-end side, SmolVLA [2] is a compact vision-language-action model of roughly 450 million parameters, designed to fine-tune and run on a single consumer GPU. It consumes multi-view RGB images, a robot state vector and a language string, and emits action chunks in joint space with a horizon of 50. It has no depth input, which constrains the camera configuration below. Reported practice is that around fifty demonstrations per task is a workable starting point, and that the density of the demonstrated workspace matters more than the raw episode count. Open X-Embodiment [3] is the closest thing to a survey of action and observation conventions across robot datasets and informs the choice of action space. Real-time chunking [4] addresses the latency of executing action chunks and is the basis for the asynchronous inference loop.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Perception in the modular pipeline uses OWLv2 [5], an open-vocabulary detector. Its behaviour drives a design decision that is worth stating early, because it is the clearest single statement of what "modular" costs. OWLv2 encodes each text query with a CLIP [6] text encoder into </w:t>
      </w:r>
      <w:r>
        <w:rPr>
          <w:rFonts w:ascii="Times New Roman" w:cs="Times New Roman" w:eastAsia="Times New Roman" w:hAnsi="Times New Roman"/>
          <w:b w:val="false"/>
          <w:bCs w:val="false"/>
          <w:i/>
          <w:iCs/>
          <w:sz w:val="24"/>
          <w:szCs w:val="24"/>
        </w:rPr>
        <w:t xml:space="preserve">one</w:t>
      </w:r>
      <w:r>
        <w:rPr>
          <w:rFonts w:ascii="Times New Roman" w:cs="Times New Roman" w:eastAsia="Times New Roman" w:hAnsi="Times New Roman"/>
          <w:b w:val="false"/>
          <w:bCs w:val="false"/>
          <w:i w:val="false"/>
          <w:iCs w:val="false"/>
          <w:sz w:val="24"/>
          <w:szCs w:val="24"/>
        </w:rPr>
        <w:t xml:space="preserve"> embedding, matched against per-patch embeddings of the image. A full sentence therefore becomes a single embedding for the whole sentence, and no region of the image corresponds to it. The detector has no mechanism for splitting a sentence into the objects it mentions. Something must therefore convert "place that red cube into that metal tray" into the noun phrases "red cube" and "metal tray" before the detector can be asked anything. In this project that step is performed by the same language model that plans, and it is logged as its own stage. Architecture A carries two penalties for this step: an extra model call for every instruction, and a failure mode where the wrong noun phrase ends the run before perception begins. Architecture B has neither, because it consumes the instruction string directly. The speech front end uses Whisper [7], run locally.</w:t>
      </w:r>
    </w:p>
    <w:p>
      <w:pPr>
        <w:pStyle w:val="Heading2"/>
        <w:spacing w:after="120" w:before="240"/>
      </w:pPr>
      <w:r>
        <w:rPr>
          <w:rFonts w:ascii="Times New Roman" w:cs="Times New Roman" w:eastAsia="Times New Roman" w:hAnsi="Times New Roman"/>
          <w:b/>
          <w:bCs/>
          <w:color w:val="2E5496"/>
          <w:sz w:val="24"/>
          <w:szCs w:val="24"/>
        </w:rPr>
        <w:t xml:space="preserve">2.3  The gap</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Published comparisons between the two families vary the robot, the task, the camera setup and the training data all at once, so it is not possible to attribute a difference in outcome to the architecture. This project holds every one of those constant. The two architectures share one physical cell, one controller interface, one speech front end and one frozen task suite. What remains different is the architecture, which is the variable under study. The research question is therefore: </w:t>
      </w:r>
      <w:r>
        <w:rPr>
          <w:rFonts w:ascii="Times New Roman" w:cs="Times New Roman" w:eastAsia="Times New Roman" w:hAnsi="Times New Roman"/>
          <w:b/>
          <w:bCs/>
          <w:i w:val="false"/>
          <w:iCs w:val="false"/>
          <w:sz w:val="24"/>
          <w:szCs w:val="24"/>
        </w:rPr>
        <w:t xml:space="preserve">on the same robot and the same tasks, what are the strengths and weaknesses of a modular language-model pipeline compared with an end-to-end vision-language-action policy?</w:t>
      </w:r>
    </w:p>
    <w:p>
      <w:pPr>
        <w:pStyle w:val="Heading1"/>
        <w:spacing w:after="160" w:before="320"/>
      </w:pPr>
      <w:r>
        <w:rPr>
          <w:rFonts w:ascii="Times New Roman" w:cs="Times New Roman" w:eastAsia="Times New Roman" w:hAnsi="Times New Roman"/>
          <w:b/>
          <w:bCs/>
          <w:color w:val="1F3864"/>
          <w:sz w:val="28"/>
          <w:szCs w:val="28"/>
        </w:rPr>
        <w:t xml:space="preserve">3.  Proposed Approach</w:t>
      </w:r>
    </w:p>
    <w:p>
      <w:pPr>
        <w:pStyle w:val="Heading2"/>
        <w:spacing w:after="120" w:before="240"/>
      </w:pPr>
      <w:r>
        <w:rPr>
          <w:rFonts w:ascii="Times New Roman" w:cs="Times New Roman" w:eastAsia="Times New Roman" w:hAnsi="Times New Roman"/>
          <w:b/>
          <w:bCs/>
          <w:color w:val="2E5496"/>
          <w:sz w:val="24"/>
          <w:szCs w:val="24"/>
        </w:rPr>
        <w:t xml:space="preserve">3.1  Controlling the comparison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value of the result depends entirely on the two architectures being given the same problem. Four things are therefore held identical by construction, and the software layout enforces it.</w:t>
      </w:r>
    </w:p>
    <w:p>
      <w:pPr>
        <w:pStyle w:val="ListParagraph"/>
        <w:numPr>
          <w:ilvl w:val="0"/>
          <w:numId w:val="3"/>
        </w:numPr>
        <w:spacing w:after="80" w:line="276"/>
      </w:pPr>
      <w:r>
        <w:rPr>
          <w:rFonts w:ascii="Times New Roman" w:cs="Times New Roman" w:eastAsia="Times New Roman" w:hAnsi="Times New Roman"/>
          <w:b/>
          <w:bCs/>
          <w:i w:val="false"/>
          <w:iCs w:val="false"/>
          <w:sz w:val="24"/>
          <w:szCs w:val="24"/>
        </w:rPr>
        <w:t xml:space="preserve">One cell and one controller interface. </w:t>
      </w:r>
      <w:r>
        <w:rPr>
          <w:rFonts w:ascii="Times New Roman" w:cs="Times New Roman" w:eastAsia="Times New Roman" w:hAnsi="Times New Roman"/>
          <w:b w:val="false"/>
          <w:bCs w:val="false"/>
          <w:i w:val="false"/>
          <w:iCs w:val="false"/>
          <w:sz w:val="24"/>
          <w:szCs w:val="24"/>
        </w:rPr>
        <w:t xml:space="preserve">Both architectures command the arm through the same controller object. A motion primitive that reaches past that interface for a driver-specific attribute would mean the study measures plumbing rather than architecture. An automated test rejects it.</w:t>
      </w:r>
    </w:p>
    <w:p>
      <w:pPr>
        <w:pStyle w:val="ListParagraph"/>
        <w:numPr>
          <w:ilvl w:val="0"/>
          <w:numId w:val="3"/>
        </w:numPr>
        <w:spacing w:after="80" w:line="276"/>
      </w:pPr>
      <w:r>
        <w:rPr>
          <w:rFonts w:ascii="Times New Roman" w:cs="Times New Roman" w:eastAsia="Times New Roman" w:hAnsi="Times New Roman"/>
          <w:b/>
          <w:bCs/>
          <w:i w:val="false"/>
          <w:iCs w:val="false"/>
          <w:sz w:val="24"/>
          <w:szCs w:val="24"/>
        </w:rPr>
        <w:t xml:space="preserve">One speech front end, outside both architectures. </w:t>
      </w:r>
      <w:r>
        <w:rPr>
          <w:rFonts w:ascii="Times New Roman" w:cs="Times New Roman" w:eastAsia="Times New Roman" w:hAnsi="Times New Roman"/>
          <w:b w:val="false"/>
          <w:bCs w:val="false"/>
          <w:i w:val="false"/>
          <w:iCs w:val="false"/>
          <w:sz w:val="24"/>
          <w:szCs w:val="24"/>
        </w:rPr>
        <w:t xml:space="preserve">A single microphone and a single local speech model produce one transcript, which is handed to A and to B unchanged. Nothing is cleaned up for one and not the other. The raw transcript goes to both.</w:t>
      </w:r>
    </w:p>
    <w:p>
      <w:pPr>
        <w:pStyle w:val="ListParagraph"/>
        <w:numPr>
          <w:ilvl w:val="0"/>
          <w:numId w:val="3"/>
        </w:numPr>
        <w:spacing w:after="80" w:line="276"/>
      </w:pPr>
      <w:r>
        <w:rPr>
          <w:rFonts w:ascii="Times New Roman" w:cs="Times New Roman" w:eastAsia="Times New Roman" w:hAnsi="Times New Roman"/>
          <w:b/>
          <w:bCs/>
          <w:i w:val="false"/>
          <w:iCs w:val="false"/>
          <w:sz w:val="24"/>
          <w:szCs w:val="24"/>
        </w:rPr>
        <w:t xml:space="preserve">One frozen task suite. </w:t>
      </w:r>
      <w:r>
        <w:rPr>
          <w:rFonts w:ascii="Times New Roman" w:cs="Times New Roman" w:eastAsia="Times New Roman" w:hAnsi="Times New Roman"/>
          <w:b w:val="false"/>
          <w:bCs w:val="false"/>
          <w:i w:val="false"/>
          <w:iCs w:val="false"/>
          <w:sz w:val="24"/>
          <w:szCs w:val="24"/>
        </w:rPr>
        <w:t xml:space="preserve">Tiers, spoken commands, object layouts and success criteria are written into source before either pipeline is tuned. Any later change must be recorded with a date and a reason and will be declared in the final report.</w:t>
      </w:r>
    </w:p>
    <w:p>
      <w:pPr>
        <w:pStyle w:val="ListParagraph"/>
        <w:numPr>
          <w:ilvl w:val="0"/>
          <w:numId w:val="3"/>
        </w:numPr>
        <w:spacing w:after="80" w:line="276"/>
      </w:pPr>
      <w:r>
        <w:rPr>
          <w:rFonts w:ascii="Times New Roman" w:cs="Times New Roman" w:eastAsia="Times New Roman" w:hAnsi="Times New Roman"/>
          <w:b/>
          <w:bCs/>
          <w:i w:val="false"/>
          <w:iCs w:val="false"/>
          <w:sz w:val="24"/>
          <w:szCs w:val="24"/>
        </w:rPr>
        <w:t xml:space="preserve">One action space. </w:t>
      </w:r>
      <w:r>
        <w:rPr>
          <w:rFonts w:ascii="Times New Roman" w:cs="Times New Roman" w:eastAsia="Times New Roman" w:hAnsi="Times New Roman"/>
          <w:b w:val="false"/>
          <w:bCs w:val="false"/>
          <w:i w:val="false"/>
          <w:iCs w:val="false"/>
          <w:sz w:val="24"/>
          <w:szCs w:val="24"/>
        </w:rPr>
        <w:t xml:space="preserve">The action space that Architecture B learns must match what Architecture A’s primitives command.</w:t>
      </w:r>
    </w:p>
    <w:p>
      <w:pPr>
        <w:pStyle w:val="Heading2"/>
        <w:spacing w:after="120" w:before="240"/>
      </w:pPr>
      <w:r>
        <w:rPr>
          <w:rFonts w:ascii="Times New Roman" w:cs="Times New Roman" w:eastAsia="Times New Roman" w:hAnsi="Times New Roman"/>
          <w:b/>
          <w:bCs/>
          <w:color w:val="2E5496"/>
          <w:sz w:val="24"/>
          <w:szCs w:val="24"/>
        </w:rPr>
        <w:t xml:space="preserve">3.2  Architecture A, modular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spoken transcript reaches a language model, which extracts the noun phrases the detector should look for. OWLv2 finds them in the fixed camera image. Depth from the same camera back-projects each detection into three dimensions, and the hand-eye transform carries it into the robot base frame. The language model then plans an ordered sequence of primitives over a schema of four skills, which are pick, place, pour and open drawer, together with a fifth non-motion tool that asks the user a question. Every plan is validated against the schema before it reaches the controller, rejecting unknown skills, coordinates outside the workspace and malformed arguments. Every stage writes a tagged log entry, so a failure can be attributed to extraction, detection, depth, transform, planning or execution. That per-stage log is the evidence for one of the hypotheses and is built once, properly, rather than added later.</w:t>
      </w:r>
    </w:p>
    <w:p>
      <w:pPr>
        <w:pStyle w:val="Heading2"/>
        <w:spacing w:after="120" w:before="240"/>
      </w:pPr>
      <w:r>
        <w:rPr>
          <w:rFonts w:ascii="Times New Roman" w:cs="Times New Roman" w:eastAsia="Times New Roman" w:hAnsi="Times New Roman"/>
          <w:b/>
          <w:bCs/>
          <w:color w:val="2E5496"/>
          <w:sz w:val="24"/>
          <w:szCs w:val="24"/>
        </w:rPr>
        <w:t xml:space="preserve">3.3  Architecture B, end-to-end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Demonstrations are recorded on the same UR5e with a teleoperation device, and exported to a LeRobot dataset. SmolVLA is fine-tuned on them. At run time the policy receives the two camera views, the robot state and the instruction string, and emits an action chunk. A safety envelope clamps every predicted action against workspace bounds and a velocity limit before it reaches the controller, because a policy under an unfamiliar observation can emit a chunk that moves the arm hard. Inference runs asynchronously so the arm is not idle during the forward pass.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One risk is specific to demonstration capture and is easy to underestimate. Hand-guiding the arm to record demonstrations puts the operator’s hands and arms in both camera views on every frame, and a visuomotor policy can learn to depend on them, although they are absent at test time. The training set will be recorded with a six-degree-of-freedom input device that keeps the operator out of frame.</w:t>
      </w:r>
    </w:p>
    <w:p>
      <w:pPr>
        <w:pStyle w:val="Heading2"/>
        <w:spacing w:after="120" w:before="240"/>
      </w:pPr>
      <w:r>
        <w:rPr>
          <w:rFonts w:ascii="Times New Roman" w:cs="Times New Roman" w:eastAsia="Times New Roman" w:hAnsi="Times New Roman"/>
          <w:b/>
          <w:bCs/>
          <w:color w:val="2E5496"/>
          <w:sz w:val="24"/>
          <w:szCs w:val="24"/>
        </w:rPr>
        <w:t xml:space="preserve">3.4  Task suite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Five tiers, ordered so that each one tests something the tier below does not. Twenty trials per architecture per tier, over the same twenty object layouts in the same order, with the same scripted spoken commands. Half of the commands use phrasings present in the demonstration data and half are held out, so that robustness to phrasing can be measured rather than assumed.</w:t>
      </w:r>
    </w:p>
    <w:tbl>
      <w:tblPr>
        <w:tblW w:type="dxa" w:w="8300"/>
        <w:tblBorders>
          <w:top w:val="single" w:color="808080" w:sz="2"/>
          <w:left w:val="single" w:color="808080" w:sz="2"/>
          <w:bottom w:val="single" w:color="808080" w:sz="2"/>
          <w:right w:val="single" w:color="808080" w:sz="2"/>
          <w:insideH w:val="single" w:color="808080" w:sz="2"/>
          <w:insideV w:val="single" w:color="808080" w:sz="2"/>
        </w:tblBorders>
      </w:tblPr>
      <w:tblGrid>
        <w:gridCol w:w="700"/>
        <w:gridCol w:w="2200"/>
        <w:gridCol w:w="5400"/>
      </w:tblGrid>
      <w:tr>
        <w:trPr>
          <w:tblHeader/>
        </w:trPr>
        <w:tc>
          <w:tcPr>
            <w:tcW w:type="dxa" w:w="7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Tier</w:t>
            </w:r>
          </w:p>
        </w:tc>
        <w:tc>
          <w:tcPr>
            <w:tcW w:type="dxa" w:w="22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Task</w:t>
            </w:r>
          </w:p>
        </w:tc>
        <w:tc>
          <w:tcPr>
            <w:tcW w:type="dxa" w:w="54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What it tests</w:t>
            </w:r>
          </w:p>
        </w:tc>
      </w:tr>
      <w:tr>
        <w:tc>
          <w:tcPr>
            <w:tcW w:type="dxa" w:w="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0</w:t>
            </w:r>
          </w:p>
        </w:tc>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Static pick and place</w:t>
            </w:r>
          </w:p>
        </w:tc>
        <w:tc>
          <w:tcPr>
            <w:tcW w:type="dxa" w:w="5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Verification that both pipelines are wired correctly. Not a headline result.</w:t>
            </w:r>
          </w:p>
        </w:tc>
      </w:tr>
      <w:tr>
        <w:tc>
          <w:tcPr>
            <w:tcW w:type="dxa" w:w="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w:t>
            </w:r>
          </w:p>
        </w:tc>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Pouring, unambiguous</w:t>
            </w:r>
          </w:p>
        </w:tc>
        <w:tc>
          <w:tcPr>
            <w:tcW w:type="dxa" w:w="5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Motion that is hard to script. A needs a hand-authored tilt profile; B must learn the tilt from demonstration.</w:t>
            </w:r>
          </w:p>
        </w:tc>
      </w:tr>
      <w:tr>
        <w:tc>
          <w:tcPr>
            <w:tcW w:type="dxa" w:w="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w:t>
            </w:r>
          </w:p>
        </w:tc>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Ambiguous instruction</w:t>
            </w:r>
          </w:p>
        </w:tc>
        <w:tc>
          <w:tcPr>
            <w:tcW w:type="dxa" w:w="5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 can ask which drink is meant and re-plan. B has no output that can produce a question, so it must act. Measuring which bottle it picks, and how consistently, quantifies an end-to-end policy substituting its training prior for the user’s intent.</w:t>
            </w:r>
          </w:p>
        </w:tc>
      </w:tr>
      <w:tr>
        <w:tc>
          <w:tcPr>
            <w:tcW w:type="dxa" w:w="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3</w:t>
            </w:r>
          </w:p>
        </w:tc>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Dynamic drawer</w:t>
            </w:r>
          </w:p>
        </w:tc>
        <w:tc>
          <w:tcPr>
            <w:tcW w:type="dxa" w:w="5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The drawer is closed again by a human mid-task. Tests reactive re-planning, where the prediction reverses: the closed-loop policy should be the stronger of the two.</w:t>
            </w:r>
          </w:p>
        </w:tc>
      </w:tr>
      <w:tr>
        <w:tc>
          <w:tcPr>
            <w:tcW w:type="dxa" w:w="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4</w:t>
            </w:r>
          </w:p>
        </w:tc>
        <w:tc>
          <w:tcPr>
            <w:tcW w:type="dxa" w:w="22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Generalisation</w:t>
            </w:r>
          </w:p>
        </w:tc>
        <w:tc>
          <w:tcPr>
            <w:tcW w:type="dxa" w:w="5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Objects and phrasings never seen in the demonstrations or the prompt examples.</w:t>
            </w:r>
          </w:p>
        </w:tc>
      </w:tr>
    </w:tbl>
    <w:p>
      <w:pPr>
        <w:spacing w:after="120" w:before="120" w:line="276"/>
        <w:jc w:val="both"/>
      </w:pPr>
      <w:r>
        <w:rPr>
          <w:rFonts w:ascii="Times New Roman" w:cs="Times New Roman" w:eastAsia="Times New Roman" w:hAnsi="Times New Roman"/>
          <w:b w:val="false"/>
          <w:bCs w:val="false"/>
          <w:i w:val="false"/>
          <w:iCs w:val="false"/>
          <w:sz w:val="24"/>
          <w:szCs w:val="24"/>
        </w:rPr>
        <w:t xml:space="preserve">The asymmetry at Tier 2 is a result rather than a fairness problem, and it will be reported as one rather than papered over with a wrapper around Architecture B.</w:t>
      </w:r>
    </w:p>
    <w:p>
      <w:pPr>
        <w:pStyle w:val="Heading2"/>
        <w:spacing w:after="120" w:before="240"/>
      </w:pPr>
      <w:r>
        <w:rPr>
          <w:rFonts w:ascii="Times New Roman" w:cs="Times New Roman" w:eastAsia="Times New Roman" w:hAnsi="Times New Roman"/>
          <w:b/>
          <w:bCs/>
          <w:color w:val="2E5496"/>
          <w:sz w:val="24"/>
          <w:szCs w:val="24"/>
        </w:rPr>
        <w:t xml:space="preserve">3.5  Measurements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Recorded for every trial: architecture, tier, trial index, layout identifier, the spoken utterance and its transcript, the outcome, the failure stage, the wall-clock duration and any human intervention. Keeping the transcript is what allows a speech error to be separated from a robotics error. Reported per tier: success rate, time to completion, whether failure is attributable to a stage, whether ambiguity was resolved correctly, recovery from a mid-task change, and robustness to held-out phrasing. Reported once per architecture: demonstration episodes and hours of laboratory time, GPU-hours, monetary cost per command, and engineering effort. The cost axis is cheap to measure and is rarely reported, and it is where the two architectures differ most plainly: Architecture A costs cents per command for ever, and Architecture B costs GPU-hours once and nothing per command.</w:t>
      </w:r>
    </w:p>
    <w:p>
      <w:pPr>
        <w:pStyle w:val="Heading1"/>
        <w:spacing w:after="160" w:before="320"/>
      </w:pPr>
      <w:r>
        <w:rPr>
          <w:rFonts w:ascii="Times New Roman" w:cs="Times New Roman" w:eastAsia="Times New Roman" w:hAnsi="Times New Roman"/>
          <w:b/>
          <w:bCs/>
          <w:color w:val="1F3864"/>
          <w:sz w:val="28"/>
          <w:szCs w:val="28"/>
        </w:rPr>
        <w:t xml:space="preserve">4.  Work Completed to Date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project began before the official start date, and the software is further ahead than the schedule requires. This section states what already exists, because the schedule that follows compresses the hardware work into seven weeks, and that compression is only credible if the software is already written and waiting.</w:t>
      </w:r>
    </w:p>
    <w:p>
      <w:pPr>
        <w:pStyle w:val="Heading2"/>
        <w:spacing w:after="120" w:before="240"/>
      </w:pPr>
      <w:r>
        <w:rPr>
          <w:rFonts w:ascii="Times New Roman" w:cs="Times New Roman" w:eastAsia="Times New Roman" w:hAnsi="Times New Roman"/>
          <w:b/>
          <w:bCs/>
          <w:color w:val="2E5496"/>
          <w:sz w:val="24"/>
          <w:szCs w:val="24"/>
        </w:rPr>
        <w:t xml:space="preserve">4.1  Preparation before Week 1, 28 June to 9 August 2026</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Six weeks were spent before the semester began on the parts of the system that need no laboratory access. Two simulators were used as scaffolding during that period, and both have since been retired.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URSim, the Universal Robots controller simulator, stood in for the arm while the control stack was written. Built against it: the RTDE control and URScript interface, a square trajectory running end to end, error handling, a custom RTDE recipe for joint state logging, a dashboard client, and the controller class with its gripper methods and first tests.</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MuJoCo, with a Robotiq 2F85 model, stood in for the cell while the data path was written. Built against rendered frames and simulated episodes: the demonstration recorder, the HDF5 episode store, the converter that exports episodes to a LeRobot dataset, and the first detector comparison, which selected OWLv2 over OWL-ViT base at a confidence threshold of 0.3. The hand-eye calibration module and the base-frame transform were written in the same period.</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Both were retired as the real cell came into reach. MuJoCo was quarantined on 28 July when the repository was restructured around the real UR5e, the simulation folder was removed from version control on 11 August, and URSim was dropped on 31 August. Nothing in the live tree references either of them, and </w:t>
      </w:r>
      <w:r>
        <w:rPr>
          <w:rFonts w:ascii="Times New Roman" w:cs="Times New Roman" w:eastAsia="Times New Roman" w:hAnsi="Times New Roman"/>
          <w:b/>
          <w:bCs/>
          <w:i w:val="false"/>
          <w:iCs w:val="false"/>
          <w:sz w:val="24"/>
          <w:szCs w:val="24"/>
        </w:rPr>
        <w:t xml:space="preserve">no simulated result appears anywhere in this project</w:t>
      </w:r>
      <w:r>
        <w:rPr>
          <w:rFonts w:ascii="Times New Roman" w:cs="Times New Roman" w:eastAsia="Times New Roman" w:hAnsi="Times New Roman"/>
          <w:b w:val="false"/>
          <w:bCs w:val="false"/>
          <w:i w:val="false"/>
          <w:iCs w:val="false"/>
          <w:sz w:val="24"/>
          <w:szCs w:val="24"/>
        </w:rPr>
        <w:t xml:space="preserve">. What the six weeks returned is a software stack that was finished before hardware access existed, and that is what makes the compressed schedule possible.</w:t>
      </w:r>
    </w:p>
    <w:p>
      <w:pPr>
        <w:pStyle w:val="Heading2"/>
        <w:spacing w:after="120" w:before="240"/>
      </w:pPr>
      <w:r>
        <w:rPr>
          <w:rFonts w:ascii="Times New Roman" w:cs="Times New Roman" w:eastAsia="Times New Roman" w:hAnsi="Times New Roman"/>
          <w:b/>
          <w:bCs/>
          <w:color w:val="2E5496"/>
          <w:sz w:val="24"/>
          <w:szCs w:val="24"/>
        </w:rPr>
        <w:t xml:space="preserve">4.2  Weeks 1 to 5, 10 August to 13 September 2026</w:t>
      </w:r>
    </w:p>
    <w:p>
      <w:pPr>
        <w:spacing w:after="120" w:before="0" w:line="276"/>
        <w:jc w:val="both"/>
      </w:pPr>
      <w:r>
        <w:rPr>
          <w:rFonts w:ascii="Times New Roman" w:cs="Times New Roman" w:eastAsia="Times New Roman" w:hAnsi="Times New Roman"/>
          <w:b/>
          <w:bCs/>
          <w:i w:val="false"/>
          <w:iCs w:val="false"/>
          <w:sz w:val="24"/>
          <w:szCs w:val="24"/>
        </w:rPr>
        <w:t xml:space="preserve">Week 1. </w:t>
      </w:r>
      <w:r>
        <w:rPr>
          <w:rFonts w:ascii="Times New Roman" w:cs="Times New Roman" w:eastAsia="Times New Roman" w:hAnsi="Times New Roman"/>
          <w:b w:val="false"/>
          <w:bCs w:val="false"/>
          <w:i w:val="false"/>
          <w:iCs w:val="false"/>
          <w:sz w:val="24"/>
          <w:szCs w:val="24"/>
        </w:rPr>
        <w:t xml:space="preserve">The repository was restructured into the Architecture A, Architecture B and shared layers, with an automated test enforcing the boundary between them. A precision fault was found and fixed in the rotation conversion, which had divided by the sine of the rotation angle and lost roughly seven digits as that angle approached pi. Pi is the default gripper-down orientation, so every grasp passed through the worst case. A quaternion method replaced it, exact to 1e-15, with a regression test.</w:t>
      </w:r>
    </w:p>
    <w:p>
      <w:pPr>
        <w:spacing w:after="120" w:before="0" w:line="276"/>
        <w:jc w:val="both"/>
      </w:pPr>
      <w:r>
        <w:rPr>
          <w:rFonts w:ascii="Times New Roman" w:cs="Times New Roman" w:eastAsia="Times New Roman" w:hAnsi="Times New Roman"/>
          <w:b/>
          <w:bCs/>
          <w:i w:val="false"/>
          <w:iCs w:val="false"/>
          <w:sz w:val="24"/>
          <w:szCs w:val="24"/>
        </w:rPr>
        <w:t xml:space="preserve">Weeks 2 and 3. </w:t>
      </w:r>
      <w:r>
        <w:rPr>
          <w:rFonts w:ascii="Times New Roman" w:cs="Times New Roman" w:eastAsia="Times New Roman" w:hAnsi="Times New Roman"/>
          <w:b w:val="false"/>
          <w:bCs w:val="false"/>
          <w:i w:val="false"/>
          <w:iCs w:val="false"/>
          <w:sz w:val="24"/>
          <w:szCs w:val="24"/>
        </w:rPr>
        <w:t xml:space="preserve">Architecture A was written in full: the motion primitives, the tool schemas, the planner, plan validation before dispatch, the clarification loop and query grounding. The speech front end was written alongside it and wired in as the default input, together with the held-out paraphrase sets that the task suite depends on.</w:t>
      </w:r>
    </w:p>
    <w:p>
      <w:pPr>
        <w:spacing w:after="120" w:before="0" w:line="276"/>
        <w:jc w:val="both"/>
      </w:pPr>
      <w:r>
        <w:rPr>
          <w:rFonts w:ascii="Times New Roman" w:cs="Times New Roman" w:eastAsia="Times New Roman" w:hAnsi="Times New Roman"/>
          <w:b/>
          <w:bCs/>
          <w:i w:val="false"/>
          <w:iCs w:val="false"/>
          <w:sz w:val="24"/>
          <w:szCs w:val="24"/>
        </w:rPr>
        <w:t xml:space="preserve">Week 4. </w:t>
      </w:r>
      <w:r>
        <w:rPr>
          <w:rFonts w:ascii="Times New Roman" w:cs="Times New Roman" w:eastAsia="Times New Roman" w:hAnsi="Times New Roman"/>
          <w:b w:val="false"/>
          <w:bCs w:val="false"/>
          <w:i w:val="false"/>
          <w:iCs w:val="false"/>
          <w:sz w:val="24"/>
          <w:szCs w:val="24"/>
        </w:rPr>
        <w:t xml:space="preserve">The robot side of Architecture B was built, running on LeRobot’s policy server and robot client through a UR5e adapter. A non-blocking servo command was added to the controller, because the blocking move call cannot sustain a 20 Hz policy loop. The unit suite reached 173 tests, all passing without hardware.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Week 4 also produced the first two results measured on real equipment, and they are the only two so far.</w:t>
      </w:r>
    </w:p>
    <w:p>
      <w:pPr>
        <w:spacing w:after="120" w:before="0" w:line="276"/>
        <w:jc w:val="both"/>
      </w:pPr>
      <w:r>
        <w:rPr>
          <w:rFonts w:ascii="Times New Roman" w:cs="Times New Roman" w:eastAsia="Times New Roman" w:hAnsi="Times New Roman"/>
          <w:b/>
          <w:bCs/>
          <w:i w:val="false"/>
          <w:iCs w:val="false"/>
          <w:sz w:val="24"/>
          <w:szCs w:val="24"/>
        </w:rPr>
        <w:t xml:space="preserve">Speech, 31 August. </w:t>
      </w:r>
      <w:r>
        <w:rPr>
          <w:rFonts w:ascii="Times New Roman" w:cs="Times New Roman" w:eastAsia="Times New Roman" w:hAnsi="Times New Roman"/>
          <w:b w:val="false"/>
          <w:bCs w:val="false"/>
          <w:i w:val="false"/>
          <w:iCs w:val="false"/>
          <w:sz w:val="24"/>
          <w:szCs w:val="24"/>
        </w:rPr>
        <w:t xml:space="preserve">The front end was tested with live speech on the GPU using Whisper large-v3. Both recordings transcribed correctly, and each was written to the log with its audio file and its latency, which is the per-trial record the evaluation protocol requires.</w:t>
      </w:r>
    </w:p>
    <w:p>
      <w:pPr>
        <w:spacing w:after="120" w:before="0" w:line="276"/>
        <w:jc w:val="both"/>
      </w:pPr>
      <w:r>
        <w:rPr>
          <w:rFonts w:ascii="Times New Roman" w:cs="Times New Roman" w:eastAsia="Times New Roman" w:hAnsi="Times New Roman"/>
          <w:b/>
          <w:bCs/>
          <w:i w:val="false"/>
          <w:iCs w:val="false"/>
          <w:sz w:val="24"/>
          <w:szCs w:val="24"/>
        </w:rPr>
        <w:t xml:space="preserve">Camera, 1 September. </w:t>
      </w:r>
      <w:r>
        <w:rPr>
          <w:rFonts w:ascii="Times New Roman" w:cs="Times New Roman" w:eastAsia="Times New Roman" w:hAnsi="Times New Roman"/>
          <w:b w:val="false"/>
          <w:bCs w:val="false"/>
          <w:i w:val="false"/>
          <w:iCs w:val="false"/>
          <w:sz w:val="24"/>
          <w:szCs w:val="24"/>
        </w:rPr>
        <w:t xml:space="preserve">A RealSense D435i was collected from Xing Ge, a PhD student in the laboratory, and benched without the arm. The session measured 30 frames per second sustained at 1280 by 720 with depth-to-colour alignment enabled, which settles an open design question: Architecture B can run its control loop at full resolution and needs no reduction. It also confirmed that aligned depth carries the colour intrinsics rather than the depth ones, that both streams are rectified and carry no distortion, and that the depth scale is one millimetre.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Twenty-eight scenes were captured using an orange, a blue kettle and a red button magnet borrowed from the laboratory, covering distance sweeps at 0.5 and 0.9 metres, occlusion cases, two identical oranges for the Tier 2 ambiguity case, an object on a box against the same object on the table, and a pair with the room lights on and off. Five scenes were re-captured as raw arrays, because the colourised depth image is lossy and cannot drive the depth stage.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Two findings from that session carry into the design. Glossy surfaces return holes in the depth map, which the red magnet does and the blue kettle does not, so the choice of objects for the task suite is a real decision rather than an arbitrary one. Depth is also close to independent of room lighting, because the sensor projects its own infrared pattern.</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This frame set is the only camera data available until the laboratory reopens. Running the detector across it is the next step, and it is placed in the two blocked weeks of the schedule below.</w:t>
      </w:r>
    </w:p>
    <w:p>
      <w:pPr>
        <w:pStyle w:val="Heading1"/>
        <w:spacing w:after="160" w:before="320"/>
      </w:pPr>
      <w:r>
        <w:rPr>
          <w:rFonts w:ascii="Times New Roman" w:cs="Times New Roman" w:eastAsia="Times New Roman" w:hAnsi="Times New Roman"/>
          <w:b/>
          <w:bCs/>
          <w:color w:val="1F3864"/>
          <w:sz w:val="28"/>
          <w:szCs w:val="28"/>
        </w:rPr>
        <w:t xml:space="preserve">5.  Weekly Schedule</w:t>
      </w:r>
    </w:p>
    <w:p>
      <w:pPr>
        <w:pStyle w:val="Heading2"/>
        <w:spacing w:after="120" w:before="240"/>
      </w:pPr>
      <w:r>
        <w:rPr>
          <w:rFonts w:ascii="Times New Roman" w:cs="Times New Roman" w:eastAsia="Times New Roman" w:hAnsi="Times New Roman"/>
          <w:b/>
          <w:bCs/>
          <w:color w:val="2E5496"/>
          <w:sz w:val="24"/>
          <w:szCs w:val="24"/>
        </w:rPr>
        <w:t xml:space="preserve">5.1  Basis and the one constraint that shapes it</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Week 1 was the week of 10 August 2026. The technical work is planned to be </w:t>
      </w:r>
      <w:r>
        <w:rPr>
          <w:rFonts w:ascii="Times New Roman" w:cs="Times New Roman" w:eastAsia="Times New Roman" w:hAnsi="Times New Roman"/>
          <w:b w:val="false"/>
          <w:bCs w:val="false"/>
          <w:i/>
          <w:iCs/>
          <w:sz w:val="24"/>
          <w:szCs w:val="24"/>
        </w:rPr>
        <w:t xml:space="preserve">complete</w:t>
      </w:r>
      <w:r>
        <w:rPr>
          <w:rFonts w:ascii="Times New Roman" w:cs="Times New Roman" w:eastAsia="Times New Roman" w:hAnsi="Times New Roman"/>
          <w:b w:val="false"/>
          <w:bCs w:val="false"/>
          <w:i w:val="false"/>
          <w:iCs w:val="false"/>
          <w:sz w:val="24"/>
          <w:szCs w:val="24"/>
        </w:rPr>
        <w:t xml:space="preserve"> by 10 November 2026, which is an internal target and not a submission date. Every submission stays on the official NTU dates. The reason for finishing early is that the interim report then carries results rather than progress, the demonstration and the final report exist in finished form five months before they are due, and any overrun eats buffer instead of a deadline.</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The schedule below is re-baselined against a known constraint. The laboratory relocates in mid-September 2026 and is set up only after the move, so </w:t>
      </w:r>
      <w:r>
        <w:rPr>
          <w:rFonts w:ascii="Times New Roman" w:cs="Times New Roman" w:eastAsia="Times New Roman" w:hAnsi="Times New Roman"/>
          <w:b/>
          <w:bCs/>
          <w:i w:val="false"/>
          <w:iCs w:val="false"/>
          <w:sz w:val="24"/>
          <w:szCs w:val="24"/>
        </w:rPr>
        <w:t xml:space="preserve">arm access is treated as unavailable until approximately 22 September 2026</w:t>
      </w:r>
      <w:r>
        <w:rPr>
          <w:rFonts w:ascii="Times New Roman" w:cs="Times New Roman" w:eastAsia="Times New Roman" w:hAnsi="Times New Roman"/>
          <w:b w:val="false"/>
          <w:bCs w:val="false"/>
          <w:i w:val="false"/>
          <w:iCs w:val="false"/>
          <w:sz w:val="24"/>
          <w:szCs w:val="24"/>
        </w:rPr>
        <w:t xml:space="preserve">. The original plan placed calibration in the week of 31 August. That is no longer possible. The response is to pull every task that does not need the arm forward into the two blocked weeks, and to compress the hardware-gated sequence afterwards. All of Architecture A, the speech front end, the evaluation harness and the robot side of Architecture B are already written and are waiting on hardware rather than on effort, which is what makes the compression credible.</w:t>
      </w:r>
    </w:p>
    <w:p>
      <w:r>
        <w:br w:type="page"/>
      </w:r>
    </w:p>
    <w:p>
      <w:pPr>
        <w:pStyle w:val="Heading2"/>
        <w:spacing w:after="120" w:before="240"/>
      </w:pPr>
      <w:r>
        <w:rPr>
          <w:rFonts w:ascii="Times New Roman" w:cs="Times New Roman" w:eastAsia="Times New Roman" w:hAnsi="Times New Roman"/>
          <w:b/>
          <w:bCs/>
          <w:color w:val="2E5496"/>
          <w:sz w:val="24"/>
          <w:szCs w:val="24"/>
        </w:rPr>
        <w:t xml:space="preserve">5.2  Gantt chart</w:t>
      </w:r>
    </w:p>
    <w:tbl>
      <w:tblPr>
        <w:tblW w:type="dxa" w:w="8600"/>
        <w:tblBorders>
          <w:top w:val="single" w:color="808080" w:sz="2"/>
          <w:left w:val="single" w:color="808080" w:sz="2"/>
          <w:bottom w:val="single" w:color="808080" w:sz="2"/>
          <w:right w:val="single" w:color="808080" w:sz="2"/>
          <w:insideH w:val="single" w:color="808080" w:sz="2"/>
          <w:insideV w:val="single" w:color="808080" w:sz="2"/>
        </w:tblBorders>
      </w:tblPr>
      <w:tblGrid>
        <w:gridCol w:w="2900"/>
        <w:gridCol w:w="380"/>
        <w:gridCol w:w="380"/>
        <w:gridCol w:w="380"/>
        <w:gridCol w:w="380"/>
        <w:gridCol w:w="380"/>
        <w:gridCol w:w="380"/>
        <w:gridCol w:w="380"/>
        <w:gridCol w:w="380"/>
        <w:gridCol w:w="380"/>
        <w:gridCol w:w="380"/>
        <w:gridCol w:w="380"/>
        <w:gridCol w:w="380"/>
        <w:gridCol w:w="380"/>
        <w:gridCol w:w="380"/>
        <w:gridCol w:w="380"/>
      </w:tblGrid>
      <w:tr>
        <w:trPr>
          <w:tblHeader/>
        </w:trPr>
        <w:tc>
          <w:tcPr>
            <w:tcW w:type="dxa" w:w="29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Workstream</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Prep</w:t>
            </w:r>
          </w:p>
          <w:p>
            <w:pPr>
              <w:spacing w:after="0"/>
              <w:jc w:val="center"/>
            </w:pPr>
            <w:r>
              <w:rPr>
                <w:rFonts w:ascii="Times New Roman" w:cs="Times New Roman" w:eastAsia="Times New Roman" w:hAnsi="Times New Roman"/>
                <w:sz w:val="14"/>
                <w:szCs w:val="14"/>
              </w:rPr>
              <w:t xml:space="preserve">Jun-Aug</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W1</w:t>
            </w:r>
          </w:p>
          <w:p>
            <w:pPr>
              <w:spacing w:after="0"/>
              <w:jc w:val="center"/>
            </w:pPr>
            <w:r>
              <w:rPr>
                <w:rFonts w:ascii="Times New Roman" w:cs="Times New Roman" w:eastAsia="Times New Roman" w:hAnsi="Times New Roman"/>
                <w:sz w:val="14"/>
                <w:szCs w:val="14"/>
              </w:rPr>
              <w:t xml:space="preserve">10 Aug</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W2</w:t>
            </w:r>
          </w:p>
          <w:p>
            <w:pPr>
              <w:spacing w:after="0"/>
              <w:jc w:val="center"/>
            </w:pPr>
            <w:r>
              <w:rPr>
                <w:rFonts w:ascii="Times New Roman" w:cs="Times New Roman" w:eastAsia="Times New Roman" w:hAnsi="Times New Roman"/>
                <w:sz w:val="14"/>
                <w:szCs w:val="14"/>
              </w:rPr>
              <w:t xml:space="preserve">17 Aug</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W3</w:t>
            </w:r>
          </w:p>
          <w:p>
            <w:pPr>
              <w:spacing w:after="0"/>
              <w:jc w:val="center"/>
            </w:pPr>
            <w:r>
              <w:rPr>
                <w:rFonts w:ascii="Times New Roman" w:cs="Times New Roman" w:eastAsia="Times New Roman" w:hAnsi="Times New Roman"/>
                <w:sz w:val="14"/>
                <w:szCs w:val="14"/>
              </w:rPr>
              <w:t xml:space="preserve">24 Aug</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W4</w:t>
            </w:r>
          </w:p>
          <w:p>
            <w:pPr>
              <w:spacing w:after="0"/>
              <w:jc w:val="center"/>
            </w:pPr>
            <w:r>
              <w:rPr>
                <w:rFonts w:ascii="Times New Roman" w:cs="Times New Roman" w:eastAsia="Times New Roman" w:hAnsi="Times New Roman"/>
                <w:sz w:val="14"/>
                <w:szCs w:val="14"/>
              </w:rPr>
              <w:t xml:space="preserve">31 Aug</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W5</w:t>
            </w:r>
          </w:p>
          <w:p>
            <w:pPr>
              <w:spacing w:after="0"/>
              <w:jc w:val="center"/>
            </w:pPr>
            <w:r>
              <w:rPr>
                <w:rFonts w:ascii="Times New Roman" w:cs="Times New Roman" w:eastAsia="Times New Roman" w:hAnsi="Times New Roman"/>
                <w:sz w:val="14"/>
                <w:szCs w:val="14"/>
              </w:rPr>
              <w:t xml:space="preserve">7 Sep</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W6</w:t>
            </w:r>
          </w:p>
          <w:p>
            <w:pPr>
              <w:spacing w:after="0"/>
              <w:jc w:val="center"/>
            </w:pPr>
            <w:r>
              <w:rPr>
                <w:rFonts w:ascii="Times New Roman" w:cs="Times New Roman" w:eastAsia="Times New Roman" w:hAnsi="Times New Roman"/>
                <w:sz w:val="14"/>
                <w:szCs w:val="14"/>
              </w:rPr>
              <w:t xml:space="preserve">14 Sep</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W7</w:t>
            </w:r>
          </w:p>
          <w:p>
            <w:pPr>
              <w:spacing w:after="0"/>
              <w:jc w:val="center"/>
            </w:pPr>
            <w:r>
              <w:rPr>
                <w:rFonts w:ascii="Times New Roman" w:cs="Times New Roman" w:eastAsia="Times New Roman" w:hAnsi="Times New Roman"/>
                <w:sz w:val="14"/>
                <w:szCs w:val="14"/>
              </w:rPr>
              <w:t xml:space="preserve">21 Sep</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Rec</w:t>
            </w:r>
          </w:p>
          <w:p>
            <w:pPr>
              <w:spacing w:after="0"/>
              <w:jc w:val="center"/>
            </w:pPr>
            <w:r>
              <w:rPr>
                <w:rFonts w:ascii="Times New Roman" w:cs="Times New Roman" w:eastAsia="Times New Roman" w:hAnsi="Times New Roman"/>
                <w:sz w:val="14"/>
                <w:szCs w:val="14"/>
              </w:rPr>
              <w:t xml:space="preserve">28 Sep</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W8</w:t>
            </w:r>
          </w:p>
          <w:p>
            <w:pPr>
              <w:spacing w:after="0"/>
              <w:jc w:val="center"/>
            </w:pPr>
            <w:r>
              <w:rPr>
                <w:rFonts w:ascii="Times New Roman" w:cs="Times New Roman" w:eastAsia="Times New Roman" w:hAnsi="Times New Roman"/>
                <w:sz w:val="14"/>
                <w:szCs w:val="14"/>
              </w:rPr>
              <w:t xml:space="preserve">5 Oct</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W9</w:t>
            </w:r>
          </w:p>
          <w:p>
            <w:pPr>
              <w:spacing w:after="0"/>
              <w:jc w:val="center"/>
            </w:pPr>
            <w:r>
              <w:rPr>
                <w:rFonts w:ascii="Times New Roman" w:cs="Times New Roman" w:eastAsia="Times New Roman" w:hAnsi="Times New Roman"/>
                <w:sz w:val="14"/>
                <w:szCs w:val="14"/>
              </w:rPr>
              <w:t xml:space="preserve">12 Oct</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W10</w:t>
            </w:r>
          </w:p>
          <w:p>
            <w:pPr>
              <w:spacing w:after="0"/>
              <w:jc w:val="center"/>
            </w:pPr>
            <w:r>
              <w:rPr>
                <w:rFonts w:ascii="Times New Roman" w:cs="Times New Roman" w:eastAsia="Times New Roman" w:hAnsi="Times New Roman"/>
                <w:sz w:val="14"/>
                <w:szCs w:val="14"/>
              </w:rPr>
              <w:t xml:space="preserve">19 Oct</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W11</w:t>
            </w:r>
          </w:p>
          <w:p>
            <w:pPr>
              <w:spacing w:after="0"/>
              <w:jc w:val="center"/>
            </w:pPr>
            <w:r>
              <w:rPr>
                <w:rFonts w:ascii="Times New Roman" w:cs="Times New Roman" w:eastAsia="Times New Roman" w:hAnsi="Times New Roman"/>
                <w:sz w:val="14"/>
                <w:szCs w:val="14"/>
              </w:rPr>
              <w:t xml:space="preserve">26 Oct</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W12</w:t>
            </w:r>
          </w:p>
          <w:p>
            <w:pPr>
              <w:spacing w:after="0"/>
              <w:jc w:val="center"/>
            </w:pPr>
            <w:r>
              <w:rPr>
                <w:rFonts w:ascii="Times New Roman" w:cs="Times New Roman" w:eastAsia="Times New Roman" w:hAnsi="Times New Roman"/>
                <w:sz w:val="14"/>
                <w:szCs w:val="14"/>
              </w:rPr>
              <w:t xml:space="preserve">2 Nov</w:t>
            </w:r>
          </w:p>
        </w:tc>
        <w:tc>
          <w:tcPr>
            <w:tcW w:type="dxa" w:w="380"/>
            <w:shd w:fill="DEEAF6" w:color="auto" w:val="clear"/>
            <w:tcMar>
              <w:top w:type="dxa" w:w="40"/>
              <w:left w:type="dxa" w:w="30"/>
              <w:bottom w:type="dxa" w:w="40"/>
              <w:right w:type="dxa" w:w="30"/>
            </w:tcMar>
          </w:tcPr>
          <w:p>
            <w:pPr>
              <w:spacing w:after="0"/>
              <w:jc w:val="center"/>
            </w:pPr>
            <w:r>
              <w:rPr>
                <w:rFonts w:ascii="Times New Roman" w:cs="Times New Roman" w:eastAsia="Times New Roman" w:hAnsi="Times New Roman"/>
                <w:b/>
                <w:bCs/>
                <w:sz w:val="14"/>
                <w:szCs w:val="14"/>
              </w:rPr>
              <w:t xml:space="preserve">W13</w:t>
            </w:r>
          </w:p>
          <w:p>
            <w:pPr>
              <w:spacing w:after="0"/>
              <w:jc w:val="center"/>
            </w:pPr>
            <w:r>
              <w:rPr>
                <w:rFonts w:ascii="Times New Roman" w:cs="Times New Roman" w:eastAsia="Times New Roman" w:hAnsi="Times New Roman"/>
                <w:sz w:val="14"/>
                <w:szCs w:val="14"/>
              </w:rPr>
              <w:t xml:space="preserve">9 Nov</w:t>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Preparation: control stack, recorder, converter</w:t>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Architecture split and repo reset</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Architecture A software</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Speech front end, paraphrase sets</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Evaluation harness, Architecture B robot side</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Speech test on GPU, camera bench and frame set</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D1 Project Plan (submit 14 Sep)</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F4B183"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Lab relocation: no arm access</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BFBFBF"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BFBFBF"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Off-lab prep: detector run, recorder, conventions</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Cell setup and hand-eye calibration</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Architecture A on hardware, Tier 0</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Demonstration capture, Tiers 0 and 1</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Architecture B fine-tune and inference</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Tier 2 ambiguity, Tier 3 drawer</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Evaluation sweep, Tier 4, freeze results</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D4 Final report writing and figures</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r>
      <w:tr>
        <w:tc>
          <w:tcPr>
            <w:tcW w:type="dxa" w:w="2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6"/>
                <w:szCs w:val="16"/>
              </w:rPr>
              <w:t xml:space="preserve">D2 Interim report, video, demo rehearsal</w:t>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
            </w:r>
          </w:p>
        </w:tc>
        <w:tc>
          <w:tcPr>
            <w:tcW w:type="dxa" w:w="380"/>
            <w:gridSpan w:val="1"/>
            <w:shd w:fill="F4B183"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4"/>
                <w:szCs w:val="14"/>
              </w:rPr>
              <w:t xml:space="preserve">◆</w:t>
            </w:r>
          </w:p>
        </w:tc>
      </w:tr>
    </w:tbl>
    <w:p>
      <w:pPr>
        <w:spacing w:after="80" w:before="0" w:line="276"/>
        <w:jc w:val="both"/>
      </w:pPr>
      <w:r>
        <w:rPr>
          <w:rFonts w:ascii="Times New Roman" w:cs="Times New Roman" w:eastAsia="Times New Roman" w:hAnsi="Times New Roman"/>
          <w:b w:val="false"/>
          <w:bCs w:val="false"/>
          <w:i w:val="false"/>
          <w:iCs w:val="false"/>
          <w:sz w:val="24"/>
          <w:szCs w:val="24"/>
        </w:rPr>
        <w:t xml:space="preserve"/>
      </w:r>
    </w:p>
    <w:tbl>
      <w:tblPr>
        <w:tblW w:type="dxa" w:w="6240"/>
        <w:tblBorders>
          <w:top w:val="none" w:color="FFFFFF" w:sz="0"/>
          <w:left w:val="none" w:color="FFFFFF" w:sz="0"/>
          <w:bottom w:val="none" w:color="FFFFFF" w:sz="0"/>
          <w:right w:val="none" w:color="FFFFFF" w:sz="0"/>
          <w:insideH w:val="none" w:color="FFFFFF" w:sz="0"/>
          <w:insideV w:val="none" w:color="FFFFFF" w:sz="0"/>
        </w:tblBorders>
      </w:tblPr>
      <w:tblGrid>
        <w:gridCol w:w="1560"/>
        <w:gridCol w:w="1560"/>
        <w:gridCol w:w="1560"/>
        <w:gridCol w:w="1560"/>
      </w:tblGrid>
      <w:tr>
        <w:tc>
          <w:tcPr>
            <w:tcW w:type="dxa" w:w="1560"/>
            <w:gridSpan w:val="1"/>
            <w:shd w:fill="C6E0B4"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6"/>
                <w:szCs w:val="16"/>
              </w:rPr>
              <w:t xml:space="preserve">Complete</w:t>
            </w:r>
          </w:p>
        </w:tc>
        <w:tc>
          <w:tcPr>
            <w:tcW w:type="dxa" w:w="1560"/>
            <w:gridSpan w:val="1"/>
            <w:shd w:fill="9DC3E6"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6"/>
                <w:szCs w:val="16"/>
              </w:rPr>
              <w:t xml:space="preserve">Planned work</w:t>
            </w:r>
          </w:p>
        </w:tc>
        <w:tc>
          <w:tcPr>
            <w:tcW w:type="dxa" w:w="1560"/>
            <w:gridSpan w:val="1"/>
            <w:shd w:fill="BFBFBF"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6"/>
                <w:szCs w:val="16"/>
              </w:rPr>
              <w:t xml:space="preserve">No arm access</w:t>
            </w:r>
          </w:p>
        </w:tc>
        <w:tc>
          <w:tcPr>
            <w:tcW w:type="dxa" w:w="1560"/>
            <w:gridSpan w:val="1"/>
            <w:shd w:fill="F4B183" w:color="auto" w:val="clear"/>
            <w:tcMar>
              <w:top w:type="dxa" w:w="40"/>
              <w:left w:type="dxa" w:w="70"/>
              <w:bottom w:type="dxa" w:w="40"/>
              <w:right w:type="dxa" w:w="70"/>
            </w:tcMar>
          </w:tcPr>
          <w:p>
            <w:pPr>
              <w:spacing w:after="20" w:before="20"/>
              <w:jc w:val="center"/>
            </w:pPr>
            <w:r>
              <w:rPr>
                <w:rFonts w:ascii="Times New Roman" w:cs="Times New Roman" w:eastAsia="Times New Roman" w:hAnsi="Times New Roman"/>
                <w:b w:val="false"/>
                <w:bCs w:val="false"/>
                <w:sz w:val="16"/>
                <w:szCs w:val="16"/>
              </w:rPr>
              <w:t xml:space="preserve">◆  Submission</w:t>
            </w:r>
          </w:p>
        </w:tc>
      </w:tr>
    </w:tbl>
    <w:p>
      <w:pPr>
        <w:pStyle w:val="Heading2"/>
        <w:spacing w:after="120" w:before="240"/>
      </w:pPr>
      <w:r>
        <w:rPr>
          <w:rFonts w:ascii="Times New Roman" w:cs="Times New Roman" w:eastAsia="Times New Roman" w:hAnsi="Times New Roman"/>
          <w:b/>
          <w:bCs/>
          <w:color w:val="2E5496"/>
          <w:sz w:val="24"/>
          <w:szCs w:val="24"/>
        </w:rPr>
        <w:t xml:space="preserve">5.3  Milestones</w:t>
      </w:r>
    </w:p>
    <w:tbl>
      <w:tblPr>
        <w:tblW w:type="dxa" w:w="8300"/>
        <w:tblBorders>
          <w:top w:val="single" w:color="808080" w:sz="2"/>
          <w:left w:val="single" w:color="808080" w:sz="2"/>
          <w:bottom w:val="single" w:color="808080" w:sz="2"/>
          <w:right w:val="single" w:color="808080" w:sz="2"/>
          <w:insideH w:val="single" w:color="808080" w:sz="2"/>
          <w:insideV w:val="single" w:color="808080" w:sz="2"/>
        </w:tblBorders>
      </w:tblPr>
      <w:tblGrid>
        <w:gridCol w:w="900"/>
        <w:gridCol w:w="1700"/>
        <w:gridCol w:w="5700"/>
      </w:tblGrid>
      <w:tr>
        <w:trPr>
          <w:tblHeader/>
        </w:trPr>
        <w:tc>
          <w:tcPr>
            <w:tcW w:type="dxa" w:w="9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Week</w:t>
            </w:r>
          </w:p>
        </w:tc>
        <w:tc>
          <w:tcPr>
            <w:tcW w:type="dxa" w:w="17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Dates</w:t>
            </w:r>
          </w:p>
        </w:tc>
        <w:tc>
          <w:tcPr>
            <w:tcW w:type="dxa" w:w="57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Milestone</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W6</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14 Sep</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D1 Project Plan submitted. Hardware recorder and dataset conventions settled off-lab.</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W7</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21 to 27 Sep</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Cell commissioned. Camera-to-base transform written and validated, reach residual reported in millimetres.</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Recess</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28 Sep to 4 Oct</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Architecture A runs end to end on the real arm and passes Tier 0 over twenty trials.</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W8</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5 to 11 Oct</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First demonstration batch recorded and exported. First SmolVLA fine-tune complete.</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W9</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12 to 18 Oct</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Architecture B drives the arm behind its safety envelope and passes Tier 0. Tier 1 running on both.</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W10</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19 to 25 Oct</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Tiers 2 and 3 run on both architectures.</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W11</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26 Oct to 1 Nov</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Full evaluation sweep complete. Results frozen.</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W12</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 to 8 Nov</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Final report drafted and sent to supervisor early for feedback. Demonstration rehearsed end to end.</w:t>
            </w:r>
          </w:p>
        </w:tc>
      </w:tr>
      <w:tr>
        <w:tc>
          <w:tcPr>
            <w:tcW w:type="dxa" w:w="9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W13</w:t>
            </w:r>
          </w:p>
        </w:tc>
        <w:tc>
          <w:tcPr>
            <w:tcW w:type="dxa" w:w="1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9 to 15 Nov</w:t>
            </w:r>
          </w:p>
        </w:tc>
        <w:tc>
          <w:tcPr>
            <w:tcW w:type="dxa" w:w="57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D2 interim report and video submitted on 10 Nov.</w:t>
            </w:r>
          </w:p>
        </w:tc>
      </w:tr>
    </w:tbl>
    <w:p>
      <w:pPr>
        <w:spacing w:after="120" w:before="160" w:line="276"/>
        <w:jc w:val="both"/>
      </w:pPr>
      <w:r>
        <w:rPr>
          <w:rFonts w:ascii="Times New Roman" w:cs="Times New Roman" w:eastAsia="Times New Roman" w:hAnsi="Times New Roman"/>
          <w:b w:val="false"/>
          <w:bCs w:val="false"/>
          <w:i w:val="false"/>
          <w:iCs w:val="false"/>
          <w:sz w:val="24"/>
          <w:szCs w:val="24"/>
        </w:rPr>
        <w:t xml:space="preserve">The period from December 2026 to March 2027 is not idle time. A hardware demonstration that has not been run since November will not work in April, so the full demonstration is re-run once a month through that window and whatever has drifted is repaired. The same window absorbs supervisor feedback on the early draft and adds trials to whichever tier produced the most interesting result.</w:t>
      </w:r>
    </w:p>
    <w:p>
      <w:pPr>
        <w:pStyle w:val="Heading1"/>
        <w:spacing w:after="160" w:before="320"/>
      </w:pPr>
      <w:r>
        <w:rPr>
          <w:rFonts w:ascii="Times New Roman" w:cs="Times New Roman" w:eastAsia="Times New Roman" w:hAnsi="Times New Roman"/>
          <w:b/>
          <w:bCs/>
          <w:color w:val="1F3864"/>
          <w:sz w:val="28"/>
          <w:szCs w:val="28"/>
        </w:rPr>
        <w:t xml:space="preserve">6.  Risks and Contingency</w:t>
      </w:r>
    </w:p>
    <w:tbl>
      <w:tblPr>
        <w:tblW w:type="dxa" w:w="8300"/>
        <w:tblBorders>
          <w:top w:val="single" w:color="808080" w:sz="2"/>
          <w:left w:val="single" w:color="808080" w:sz="2"/>
          <w:bottom w:val="single" w:color="808080" w:sz="2"/>
          <w:right w:val="single" w:color="808080" w:sz="2"/>
          <w:insideH w:val="single" w:color="808080" w:sz="2"/>
          <w:insideV w:val="single" w:color="808080" w:sz="2"/>
        </w:tblBorders>
      </w:tblPr>
      <w:tblGrid>
        <w:gridCol w:w="2400"/>
        <w:gridCol w:w="2100"/>
        <w:gridCol w:w="3800"/>
      </w:tblGrid>
      <w:tr>
        <w:trPr>
          <w:tblHeader/>
        </w:trPr>
        <w:tc>
          <w:tcPr>
            <w:tcW w:type="dxa" w:w="24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Risk</w:t>
            </w:r>
          </w:p>
        </w:tc>
        <w:tc>
          <w:tcPr>
            <w:tcW w:type="dxa" w:w="21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Impact</w:t>
            </w:r>
          </w:p>
        </w:tc>
        <w:tc>
          <w:tcPr>
            <w:tcW w:type="dxa" w:w="38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Response</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Laboratory access slips beyond late September</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Compresses the critical path further</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Every task that does not need the arm is already pulled forward. Each further week of delay drops one rung of the descope ladder below.</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Operator visible in demonstration frames</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Policy learns a cue absent at test time; retrain from scratch</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Record the training set with a teleoperation device rather than by hand-guiding. Inspect the frames of the first five episodes before recording two hundred.</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Calibration residual too large to grasp reliably</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Architecture A fails everywhere; B is unaffected</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Validate numerically and report the residual. The transform is measured from mount geometry, so a systematic bias of one to three centimetres is expected. A fallback fitting procedure is already in the repository.</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Policy does not converge on fifty episodes</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No comparison at all</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Constrain the demonstrated workspace first, because density matters more than count, and widen only once the constrained set works.</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Spill damages the arm or a camera</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Project-ending</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Tinted water rather than juice, everything inside a shallow tray, arm speed capped during the pour.</w:t>
            </w:r>
          </w:p>
        </w:tc>
      </w:tr>
      <w:tr>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GPU memory too tight for the fine-tune</w:t>
            </w:r>
          </w:p>
        </w:tc>
        <w:tc>
          <w:tcPr>
            <w:tcW w:type="dxa" w:w="21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Stalls the critical path</w:t>
            </w:r>
          </w:p>
        </w:tc>
        <w:tc>
          <w:tcPr>
            <w:tcW w:type="dxa" w:w="38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Run a short fine-tune on the existing episodes before real data exists. Gradient accumulation, gradient checkpointing and a frozen vision backbone are the fallbacks.</w:t>
            </w:r>
          </w:p>
        </w:tc>
      </w:tr>
    </w:tbl>
    <w:p>
      <w:pPr>
        <w:pStyle w:val="Heading2"/>
        <w:spacing w:after="120" w:before="240"/>
      </w:pPr>
      <w:r>
        <w:rPr>
          <w:rFonts w:ascii="Times New Roman" w:cs="Times New Roman" w:eastAsia="Times New Roman" w:hAnsi="Times New Roman"/>
          <w:b/>
          <w:bCs/>
          <w:color w:val="2E5496"/>
          <w:sz w:val="24"/>
          <w:szCs w:val="24"/>
        </w:rPr>
        <w:t xml:space="preserve">6.1  Descope ladder</w:t>
      </w:r>
    </w:p>
    <w:p>
      <w:pPr>
        <w:spacing w:after="120" w:before="0" w:line="276"/>
        <w:jc w:val="both"/>
      </w:pPr>
      <w:r>
        <w:rPr>
          <w:rFonts w:ascii="Times New Roman" w:cs="Times New Roman" w:eastAsia="Times New Roman" w:hAnsi="Times New Roman"/>
          <w:b w:val="false"/>
          <w:bCs w:val="false"/>
          <w:i w:val="false"/>
          <w:iCs w:val="false"/>
          <w:sz w:val="24"/>
          <w:szCs w:val="24"/>
        </w:rPr>
        <w:t xml:space="preserve">If time runs short, work is dropped from the bottom of this list rather than thinned across all of it. Tier 2 is deliberately ranked above Tier 3, because it is cheaper to run and produces the more distinctive result.</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Architecture A end to end, spoken input, Tiers 0 to 2. No training and no data collection, so it is entirely within the student’s control. This alone is a complete project.</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Architecture B on Tier 0, establishing that both pipelines exist and are comparable.</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Tier 1 pouring on both architectures.</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Tier 2 ambiguity experiment.</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Tier 3 dynamic drawer.</w:t>
      </w:r>
    </w:p>
    <w:p>
      <w:pPr>
        <w:pStyle w:val="ListParagraph"/>
        <w:numPr>
          <w:ilvl w:val="0"/>
          <w:numId w:val="4"/>
        </w:numPr>
        <w:spacing w:after="100" w:line="276"/>
      </w:pPr>
      <w:r>
        <w:rPr>
          <w:rFonts w:ascii="Times New Roman" w:cs="Times New Roman" w:eastAsia="Times New Roman" w:hAnsi="Times New Roman"/>
          <w:b w:val="false"/>
          <w:bCs w:val="false"/>
          <w:i w:val="false"/>
          <w:iCs w:val="false"/>
          <w:sz w:val="24"/>
          <w:szCs w:val="24"/>
        </w:rPr>
        <w:t xml:space="preserve">Tier 4 generalisation sweep.</w:t>
      </w:r>
    </w:p>
    <w:p>
      <w:pPr>
        <w:pStyle w:val="Heading1"/>
        <w:spacing w:after="160" w:before="320"/>
      </w:pPr>
      <w:r>
        <w:rPr>
          <w:rFonts w:ascii="Times New Roman" w:cs="Times New Roman" w:eastAsia="Times New Roman" w:hAnsi="Times New Roman"/>
          <w:b/>
          <w:bCs/>
          <w:color w:val="1F3864"/>
          <w:sz w:val="28"/>
          <w:szCs w:val="28"/>
        </w:rPr>
        <w:t xml:space="preserve">7.  Deliverables and Supervision</w:t>
      </w:r>
    </w:p>
    <w:tbl>
      <w:tblPr>
        <w:tblW w:type="dxa" w:w="8300"/>
        <w:tblBorders>
          <w:top w:val="single" w:color="808080" w:sz="2"/>
          <w:left w:val="single" w:color="808080" w:sz="2"/>
          <w:bottom w:val="single" w:color="808080" w:sz="2"/>
          <w:right w:val="single" w:color="808080" w:sz="2"/>
          <w:insideH w:val="single" w:color="808080" w:sz="2"/>
          <w:insideV w:val="single" w:color="808080" w:sz="2"/>
        </w:tblBorders>
      </w:tblPr>
      <w:tblGrid>
        <w:gridCol w:w="3600"/>
        <w:gridCol w:w="2400"/>
        <w:gridCol w:w="2300"/>
      </w:tblGrid>
      <w:tr>
        <w:trPr>
          <w:tblHeader/>
        </w:trPr>
        <w:tc>
          <w:tcPr>
            <w:tcW w:type="dxa" w:w="36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Deliverable</w:t>
            </w:r>
          </w:p>
        </w:tc>
        <w:tc>
          <w:tcPr>
            <w:tcW w:type="dxa" w:w="24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Submit on</w:t>
            </w:r>
          </w:p>
        </w:tc>
        <w:tc>
          <w:tcPr>
            <w:tcW w:type="dxa" w:w="2300"/>
            <w:gridSpan w:val="1"/>
            <w:shd w:fill="DEEAF6" w:color="auto" w:val="clear"/>
            <w:tcMar>
              <w:top w:type="dxa" w:w="40"/>
              <w:left w:type="dxa" w:w="70"/>
              <w:bottom w:type="dxa" w:w="40"/>
              <w:right w:type="dxa" w:w="70"/>
            </w:tcMar>
          </w:tcPr>
          <w:p>
            <w:pPr>
              <w:spacing w:after="20" w:before="20"/>
              <w:jc w:val="left"/>
            </w:pPr>
            <w:r>
              <w:rPr>
                <w:rFonts w:ascii="Times New Roman" w:cs="Times New Roman" w:eastAsia="Times New Roman" w:hAnsi="Times New Roman"/>
                <w:b/>
                <w:bCs/>
                <w:sz w:val="18"/>
                <w:szCs w:val="18"/>
              </w:rPr>
              <w:t xml:space="preserve">Internally complete by</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D1  Project plan and strategy</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14 Sep 2026</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14 Sep 2026</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D2  Interim report and video</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10 Nov 2026</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10 Nov 2026</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D3  Draft final report</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25 Mar 2027</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2 Nov 2026</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D4  Final report</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9 Apr 2027</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9 Nov 2026</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D5  Demonstration</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12 to 16 Apr 2027</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Demo-ready Nov 2026, rehearsed monthly</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D6  Oral presentation</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10 to 12 May 2027</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Slides outlined Nov 2026</w:t>
            </w:r>
          </w:p>
        </w:tc>
      </w:tr>
      <w:tr>
        <w:tc>
          <w:tcPr>
            <w:tcW w:type="dxa" w:w="36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D7  Full text to library and revised report</w:t>
            </w:r>
          </w:p>
        </w:tc>
        <w:tc>
          <w:tcPr>
            <w:tcW w:type="dxa" w:w="24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19 May 2027</w:t>
            </w:r>
          </w:p>
        </w:tc>
        <w:tc>
          <w:tcPr>
            <w:tcW w:type="dxa" w:w="2300"/>
            <w:gridSpan w:val="1"/>
            <w:tcMar>
              <w:top w:type="dxa" w:w="40"/>
              <w:left w:type="dxa" w:w="70"/>
              <w:bottom w:type="dxa" w:w="40"/>
              <w:right w:type="dxa" w:w="70"/>
            </w:tcMar>
          </w:tcPr>
          <w:p>
            <w:pPr>
              <w:spacing w:after="20" w:before="20"/>
              <w:jc w:val="left"/>
            </w:pPr>
            <w:r>
              <w:rPr>
                <w:rFonts w:ascii="Times New Roman" w:cs="Times New Roman" w:eastAsia="Times New Roman" w:hAnsi="Times New Roman"/>
                <w:b w:val="false"/>
                <w:bCs w:val="false"/>
                <w:sz w:val="18"/>
                <w:szCs w:val="18"/>
              </w:rPr>
              <w:t xml:space="preserve">Post-oral revision only</w:t>
            </w:r>
          </w:p>
        </w:tc>
      </w:tr>
    </w:tbl>
    <w:p>
      <w:pPr>
        <w:spacing w:after="120" w:before="160" w:line="276"/>
        <w:jc w:val="both"/>
      </w:pPr>
      <w:r>
        <w:rPr>
          <w:rFonts w:ascii="Times New Roman" w:cs="Times New Roman" w:eastAsia="Times New Roman" w:hAnsi="Times New Roman"/>
          <w:b w:val="false"/>
          <w:bCs w:val="false"/>
          <w:i w:val="false"/>
          <w:iCs w:val="false"/>
          <w:sz w:val="24"/>
          <w:szCs w:val="24"/>
        </w:rPr>
        <w:t xml:space="preserve">A short written progress update goes to the supervisor every two weeks for the duration of the project. The demonstration date is agreed with the examiner in January 2027 rather than in April.</w:t>
      </w:r>
    </w:p>
    <w:p>
      <w:pPr>
        <w:pStyle w:val="Heading1"/>
        <w:spacing w:after="160" w:before="320"/>
      </w:pPr>
      <w:r>
        <w:rPr>
          <w:rFonts w:ascii="Times New Roman" w:cs="Times New Roman" w:eastAsia="Times New Roman" w:hAnsi="Times New Roman"/>
          <w:b/>
          <w:bCs/>
          <w:color w:val="1F3864"/>
          <w:sz w:val="28"/>
          <w:szCs w:val="28"/>
        </w:rPr>
        <w:t xml:space="preserve">References</w:t>
      </w:r>
    </w:p>
    <w:p>
      <w:pPr>
        <w:spacing w:after="100" w:line="276"/>
        <w:ind w:left="480" w:hanging="480"/>
      </w:pPr>
      <w:r>
        <w:rPr>
          <w:rFonts w:ascii="Times New Roman" w:cs="Times New Roman" w:eastAsia="Times New Roman" w:hAnsi="Times New Roman"/>
          <w:sz w:val="20"/>
          <w:szCs w:val="20"/>
        </w:rPr>
        <w:t xml:space="preserve">[1]  S. Shan and C. C. Cheah, "A Large-Language-Model-Enabled Robotic System with Application to Power Cable Manipulation," CPEEE 2026. DOI: 10.1109/CPEEE69412.2026.11521580.</w:t>
      </w:r>
    </w:p>
    <w:p>
      <w:pPr>
        <w:spacing w:after="100" w:line="276"/>
        <w:ind w:left="480" w:hanging="480"/>
      </w:pPr>
      <w:r>
        <w:rPr>
          <w:rFonts w:ascii="Times New Roman" w:cs="Times New Roman" w:eastAsia="Times New Roman" w:hAnsi="Times New Roman"/>
          <w:sz w:val="20"/>
          <w:szCs w:val="20"/>
        </w:rPr>
        <w:t xml:space="preserve">[2]  M. Shukor et al., "SmolVLA: A Vision-Language-Action Model for Affordable and Efficient Robotics," 2025.</w:t>
      </w:r>
    </w:p>
    <w:p>
      <w:pPr>
        <w:spacing w:after="100" w:line="276"/>
        <w:ind w:left="480" w:hanging="480"/>
      </w:pPr>
      <w:r>
        <w:rPr>
          <w:rFonts w:ascii="Times New Roman" w:cs="Times New Roman" w:eastAsia="Times New Roman" w:hAnsi="Times New Roman"/>
          <w:sz w:val="20"/>
          <w:szCs w:val="20"/>
        </w:rPr>
        <w:t xml:space="preserve">[3]  A. Padalkar et al., "Open X-Embodiment: Robotic Learning Datasets and RT-X Models," 2023.</w:t>
      </w:r>
    </w:p>
    <w:p>
      <w:pPr>
        <w:spacing w:after="100" w:line="276"/>
        <w:ind w:left="480" w:hanging="480"/>
      </w:pPr>
      <w:r>
        <w:rPr>
          <w:rFonts w:ascii="Times New Roman" w:cs="Times New Roman" w:eastAsia="Times New Roman" w:hAnsi="Times New Roman"/>
          <w:sz w:val="20"/>
          <w:szCs w:val="20"/>
        </w:rPr>
        <w:t xml:space="preserve">[4]  K. Black et al., "Real-Time Execution of Action Chunking Flow Policies," 2025.</w:t>
      </w:r>
    </w:p>
    <w:p>
      <w:pPr>
        <w:spacing w:after="100" w:line="276"/>
        <w:ind w:left="480" w:hanging="480"/>
      </w:pPr>
      <w:r>
        <w:rPr>
          <w:rFonts w:ascii="Times New Roman" w:cs="Times New Roman" w:eastAsia="Times New Roman" w:hAnsi="Times New Roman"/>
          <w:sz w:val="20"/>
          <w:szCs w:val="20"/>
        </w:rPr>
        <w:t xml:space="preserve">[5]  M. Minderer, A. Gritsenko and N. Houlsby, "Scaling Open-Vocabulary Object Detection," Advances in Neural Information Processing Systems, 2023.</w:t>
      </w:r>
    </w:p>
    <w:p>
      <w:pPr>
        <w:spacing w:after="100" w:line="276"/>
        <w:ind w:left="480" w:hanging="480"/>
      </w:pPr>
      <w:r>
        <w:rPr>
          <w:rFonts w:ascii="Times New Roman" w:cs="Times New Roman" w:eastAsia="Times New Roman" w:hAnsi="Times New Roman"/>
          <w:sz w:val="20"/>
          <w:szCs w:val="20"/>
        </w:rPr>
        <w:t xml:space="preserve">[6]  A. Radford et al., "Learning Transferable Visual Models from Natural Language Supervision," Proceedings of the 38th International Conference on Machine Learning, 2021.</w:t>
      </w:r>
    </w:p>
    <w:p>
      <w:pPr>
        <w:spacing w:after="100" w:line="276"/>
        <w:ind w:left="480" w:hanging="480"/>
      </w:pPr>
      <w:r>
        <w:rPr>
          <w:rFonts w:ascii="Times New Roman" w:cs="Times New Roman" w:eastAsia="Times New Roman" w:hAnsi="Times New Roman"/>
          <w:sz w:val="20"/>
          <w:szCs w:val="20"/>
        </w:rPr>
        <w:t xml:space="preserve">[7]  A. Radford et al., "Robust Speech Recognition via Large-Scale Weak Supervision," 2022.</w:t>
      </w:r>
    </w:p>
    <w:sectPr>
      <w:pgSz w:w="11906" w:h="16838" w:orient="portrait"/>
      <w:pgMar w:top="1417" w:right="1417" w:bottom="1417"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00"/>
      </w:pPr>
    </w:lvl>
  </w:abstractNum>
  <w:abstractNum w:abstractNumId="4" w15:restartNumberingAfterBreak="0">
    <w:multiLevelType w:val="hybridMultilevel"/>
    <w:lvl w:ilvl="0" w15:tentative="1">
      <w:start w:val="1"/>
      <w:numFmt w:val="decimal"/>
      <w:lvlText w:val="%1."/>
      <w:lvlJc w:val="left"/>
      <w:pPr>
        <w:ind w:left="5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2026-09-09T06:00:21.256Z</dcterms:created>
  <dcterms:modified xsi:type="dcterms:W3CDTF">2026-09-09T06:00:21.270Z</dcterms:modified>
</cp:coreProperties>
</file>

<file path=docProps/custom.xml><?xml version="1.0" encoding="utf-8"?>
<Properties xmlns="http://schemas.openxmlformats.org/officeDocument/2006/custom-properties" xmlns:vt="http://schemas.openxmlformats.org/officeDocument/2006/docPropsVTypes"/>
</file>