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/>
      </w:pPr>
      <w:r w:rsidDel="00000000" w:rsidR="00000000" w:rsidRPr="00000000">
        <w:rPr>
          <w:rFonts w:ascii="Fira Sans" w:cs="Fira Sans" w:eastAsia="Fira Sans" w:hAnsi="Fira Sans"/>
          <w:b w:val="1"/>
          <w:sz w:val="40"/>
          <w:szCs w:val="40"/>
          <w:rtl w:val="0"/>
        </w:rPr>
        <w:t xml:space="preserve">Redes Neuronales.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jc w:val="center"/>
        <w:rPr/>
      </w:pPr>
      <w:r w:rsidDel="00000000" w:rsidR="00000000" w:rsidRPr="00000000">
        <w:rPr>
          <w:rFonts w:ascii="Fira Sans" w:cs="Fira Sans" w:eastAsia="Fira Sans" w:hAnsi="Fira Sans"/>
          <w:b w:val="1"/>
          <w:sz w:val="40"/>
          <w:szCs w:val="40"/>
          <w:rtl w:val="0"/>
        </w:rPr>
        <w:t xml:space="preserve">Repaso de Evaluación de modelos.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Fira Sans Light" w:cs="Fira Sans Light" w:eastAsia="Fira Sans Light" w:hAnsi="Fira Sans Ligh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120" w:line="240" w:lineRule="auto"/>
        <w:rPr>
          <w:rFonts w:ascii="Fira Sans" w:cs="Fira Sans" w:eastAsia="Fira Sans" w:hAnsi="Fira Sans"/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Objetivos</w:t>
      </w:r>
    </w:p>
    <w:p w:rsidR="00000000" w:rsidDel="00000000" w:rsidP="00000000" w:rsidRDefault="00000000" w:rsidRPr="00000000" w14:paraId="00000006">
      <w:pPr>
        <w:spacing w:after="0" w:before="120" w:line="24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 xml:space="preserve">Estos ejercicios tienen como objetivo que te familiarices con la librería Keras implementando modelos simples de Redes Neuronales, y adquieras confianza interpretando las métricas de evaluación de modelos.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120" w:line="240" w:lineRule="auto"/>
        <w:rPr>
          <w:rFonts w:ascii="Fira Sans" w:cs="Fira Sans" w:eastAsia="Fira Sans" w:hAnsi="Fira Sans"/>
          <w:b w:val="1"/>
        </w:rPr>
      </w:pPr>
      <w:bookmarkStart w:colFirst="0" w:colLast="0" w:name="_heading=h.2et92p0" w:id="4"/>
      <w:bookmarkEnd w:id="4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Preparación</w:t>
      </w:r>
    </w:p>
    <w:p w:rsidR="00000000" w:rsidDel="00000000" w:rsidP="00000000" w:rsidRDefault="00000000" w:rsidRPr="00000000" w14:paraId="00000009">
      <w:pPr>
        <w:spacing w:after="0" w:before="120" w:line="240" w:lineRule="auto"/>
        <w:rPr/>
      </w:pPr>
      <w:bookmarkStart w:colFirst="0" w:colLast="0" w:name="_heading=h.tyjcwt" w:id="5"/>
      <w:bookmarkEnd w:id="5"/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Desde una terminal de Anaconda ubicarse en el directorio de la práctica donde se encuentra los archivos con extensión “.ipynb” (notebooks) y escribir: “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j</w:t>
      </w:r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upyter notebook”. Desde el entorno web, acceder a la dirección del servidor (generalmente </w:t>
      </w:r>
      <w:hyperlink r:id="rId7">
        <w:r w:rsidDel="00000000" w:rsidR="00000000" w:rsidRPr="00000000">
          <w:rPr>
            <w:rFonts w:ascii="Fira Sans Light" w:cs="Fira Sans Light" w:eastAsia="Fira Sans Light" w:hAnsi="Fira Sans Light"/>
            <w:color w:val="1155cc"/>
            <w:u w:val="single"/>
            <w:rtl w:val="0"/>
          </w:rPr>
          <w:t xml:space="preserve">http://localhost:8888/</w:t>
        </w:r>
      </w:hyperlink>
      <w:r w:rsidDel="00000000" w:rsidR="00000000" w:rsidRPr="00000000">
        <w:rPr>
          <w:rFonts w:ascii="Fira Sans Light" w:cs="Fira Sans Light" w:eastAsia="Fira Sans Light" w:hAnsi="Fira Sans Light"/>
          <w:color w:val="000000"/>
          <w:rtl w:val="0"/>
        </w:rPr>
        <w:t xml:space="preserve">) para abrir los archivos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120" w:line="240" w:lineRule="auto"/>
        <w:ind w:left="720" w:firstLine="0"/>
        <w:rPr>
          <w:rFonts w:ascii="Fira Sans Light" w:cs="Fira Sans Light" w:eastAsia="Fira Sans Light" w:hAnsi="Fira Sans Light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120" w:line="240" w:lineRule="auto"/>
        <w:rPr/>
      </w:pPr>
      <w:bookmarkStart w:colFirst="0" w:colLast="0" w:name="_heading=h.1t3h5sf" w:id="7"/>
      <w:bookmarkEnd w:id="7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1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En este ejercicio, haremos lo mismo que en el 2 de la práctica de </w:t>
      </w:r>
      <w:r w:rsidDel="00000000" w:rsidR="00000000" w:rsidRPr="00000000">
        <w:rPr>
          <w:rFonts w:ascii="Fira Sans Light" w:cs="Fira Sans Light" w:eastAsia="Fira Sans Light" w:hAnsi="Fira Sans Light"/>
          <w:b w:val="1"/>
          <w:rtl w:val="0"/>
        </w:rPr>
        <w:t xml:space="preserve">Regresión Logística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, pero ahora utilizando redes neuronales, es decir, varias capas. Probá variando la cantidad de capas y la función de activación de cada una.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4d34og8" w:id="8"/>
      <w:bookmarkEnd w:id="8"/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Anotá los mejores resultados y la topología. </w:t>
      </w:r>
    </w:p>
    <w:p w:rsidR="00000000" w:rsidDel="00000000" w:rsidP="00000000" w:rsidRDefault="00000000" w:rsidRPr="00000000" w14:paraId="0000000D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2s8eyo1" w:id="9"/>
      <w:bookmarkEnd w:id="9"/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Podés escribir la topología de una red de tres capas, donde la primera tiene activación ReLU y 3 salidas, la segunda TanH y 5 salidas, y la tercera softmax y 2 salidas como:</w:t>
        <w:br w:type="textWrapping"/>
        <w:t xml:space="preserve">Dense(3,’relu’) - Dense(5,’tanh’) - Dense(2,’softmax’).</w:t>
      </w:r>
    </w:p>
    <w:p w:rsidR="00000000" w:rsidDel="00000000" w:rsidP="00000000" w:rsidRDefault="00000000" w:rsidRPr="00000000" w14:paraId="0000000E">
      <w:pPr>
        <w:spacing w:after="0" w:before="120" w:line="240" w:lineRule="auto"/>
        <w:rPr/>
      </w:pPr>
      <w:bookmarkStart w:colFirst="0" w:colLast="0" w:name="_heading=h.17dp8vu" w:id="10"/>
      <w:bookmarkEnd w:id="10"/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" w:cs="Fira Sans" w:eastAsia="Fira Sans" w:hAnsi="Fira Sans"/>
          <w:b w:val="1"/>
          <w:i w:val="1"/>
          <w:rtl w:val="0"/>
        </w:rPr>
        <w:t xml:space="preserve">Archivo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: Redes Neuronales con Keras y varios conjuntos de datos.ipynb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3rdcrjn" w:id="11"/>
      <w:bookmarkEnd w:id="11"/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 xml:space="preserve">C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onjuntos de datos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</w:t>
      </w:r>
    </w:p>
    <w:p w:rsidR="00000000" w:rsidDel="00000000" w:rsidP="00000000" w:rsidRDefault="00000000" w:rsidRPr="00000000" w14:paraId="00000010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26in1rg" w:id="12"/>
      <w:bookmarkEnd w:id="12"/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ab/>
      </w:r>
    </w:p>
    <w:tbl>
      <w:tblPr>
        <w:tblStyle w:val="Table1"/>
        <w:tblW w:w="8933.0" w:type="dxa"/>
        <w:jc w:val="left"/>
        <w:tblInd w:w="0.0" w:type="dxa"/>
        <w:tblLayout w:type="fixed"/>
        <w:tblLook w:val="0600"/>
      </w:tblPr>
      <w:tblGrid>
        <w:gridCol w:w="2417"/>
        <w:gridCol w:w="1104"/>
        <w:gridCol w:w="1223"/>
        <w:gridCol w:w="1357"/>
        <w:gridCol w:w="1416"/>
        <w:gridCol w:w="1416"/>
        <w:tblGridChange w:id="0">
          <w:tblGrid>
            <w:gridCol w:w="2417"/>
            <w:gridCol w:w="1104"/>
            <w:gridCol w:w="1223"/>
            <w:gridCol w:w="1357"/>
            <w:gridCol w:w="1416"/>
            <w:gridCol w:w="1416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Archivo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Mejor accuracy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Mejor loss 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Iteraciones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Tasa de aprendizaje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Topología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spacing w:after="0" w:before="120" w:line="240" w:lineRule="auto"/>
              <w:rPr>
                <w:rFonts w:ascii="Fira Sans Light" w:cs="Fira Sans Light" w:eastAsia="Fira Sans Light" w:hAnsi="Fira Sans Light"/>
              </w:rPr>
            </w:pPr>
            <w:bookmarkStart w:colFirst="0" w:colLast="0" w:name="_heading=h.lnxbz9" w:id="13"/>
            <w:bookmarkEnd w:id="13"/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2_clases_simple.csv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spacing w:after="0" w:before="120" w:line="240" w:lineRule="auto"/>
              <w:rPr>
                <w:rFonts w:ascii="Fira Sans Light" w:cs="Fira Sans Light" w:eastAsia="Fira Sans Light" w:hAnsi="Fira Sans Light"/>
              </w:rPr>
            </w:pPr>
            <w:bookmarkStart w:colFirst="0" w:colLast="0" w:name="_heading=h.35nkun2" w:id="14"/>
            <w:bookmarkEnd w:id="14"/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6_clases_dificil.csv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spacing w:after="0" w:before="120" w:line="240" w:lineRule="auto"/>
              <w:rPr>
                <w:rFonts w:ascii="Fira Sans Light" w:cs="Fira Sans Light" w:eastAsia="Fira Sans Light" w:hAnsi="Fira Sans Light"/>
              </w:rPr>
            </w:pPr>
            <w:bookmarkStart w:colFirst="0" w:colLast="0" w:name="_heading=h.1ksv4uv" w:id="15"/>
            <w:bookmarkEnd w:id="15"/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circulos.csv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diabetes.csv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iris.csv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moons_mis-scaled.csv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moons.csv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120" w:line="240" w:lineRule="auto"/>
        <w:rPr>
          <w:rFonts w:ascii="Fira Sans Light" w:cs="Fira Sans Light" w:eastAsia="Fira Sans Light" w:hAnsi="Fira Sans Light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120" w:line="240" w:lineRule="auto"/>
        <w:jc w:val="both"/>
        <w:rPr/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2 (Opcional) .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Implementá varias de las métricas vistas en clase utilizando NumPy.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120" w:line="240" w:lineRule="auto"/>
        <w:jc w:val="both"/>
        <w:rPr/>
      </w:pPr>
      <w:bookmarkStart w:colFirst="0" w:colLast="0" w:name="_heading=h.z337ya" w:id="18"/>
      <w:bookmarkEnd w:id="18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ab/>
        <w:t xml:space="preserve">Archivo:   Métricas de clasificación.ipynb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240" w:line="240" w:lineRule="auto"/>
        <w:jc w:val="both"/>
        <w:rPr/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3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. Entrená un modelo de redes neuronales que clasifique correctamente las clases en el archivo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6_clases_dificil.csv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.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Realizá un análisis de las diferentes métricas vistas en clase. Podés utilizar las funciones definidas en 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AAPutils.py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para realizar más rápidamente los gráficos y reportes. A continuación se muestra un breve glosario de algunas funciones que te serán de utilidad.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13.0" w:type="dxa"/>
        <w:jc w:val="left"/>
        <w:tblInd w:w="0.0" w:type="dxa"/>
        <w:tblLayout w:type="fixed"/>
        <w:tblLook w:val="0400"/>
      </w:tblPr>
      <w:tblGrid>
        <w:gridCol w:w="3685"/>
        <w:gridCol w:w="5528"/>
        <w:tblGridChange w:id="0">
          <w:tblGrid>
            <w:gridCol w:w="3685"/>
            <w:gridCol w:w="5528"/>
          </w:tblGrid>
        </w:tblGridChange>
      </w:tblGrid>
      <w:tr>
        <w:trPr>
          <w:trHeight w:val="2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1ea7c" w:val="clear"/>
          </w:tcPr>
          <w:p w:rsidR="00000000" w:rsidDel="00000000" w:rsidP="00000000" w:rsidRDefault="00000000" w:rsidRPr="00000000" w14:paraId="00000049">
            <w:pPr>
              <w:spacing w:after="0" w:before="0" w:line="240" w:lineRule="auto"/>
              <w:jc w:val="center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AAPutils.py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spacing w:after="0" w:before="120" w:line="240" w:lineRule="auto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X_train, X_test, Y_train, Y_test = dividir_train_test(X, Y, test_size)</w:t>
            </w:r>
          </w:p>
          <w:p w:rsidR="00000000" w:rsidDel="00000000" w:rsidP="00000000" w:rsidRDefault="00000000" w:rsidRPr="00000000" w14:paraId="0000004C">
            <w:pPr>
              <w:spacing w:after="0" w:before="120" w:line="240" w:lineRule="auto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Divide el dataset de forma aleatoria en dos conjuntos. El parámetro “test_ size” es un número entre 0 y 1 que indica el porcentaje a utilizar para el conjunto de evaluación.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spacing w:after="0" w:before="120" w:line="240" w:lineRule="auto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plot_frontera_de_decision_2D(model, X_train, Y_train, X_test, Y_test)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Grafica en 2D el dataset junto con la frontera de decisión del modelo. Al pasar el conjunto de testeo se visualizan los dos conjuntos con diferentes marcadores.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after="0" w:before="120" w:line="240" w:lineRule="auto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plot_training_curves(history</w:t>
            </w: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 </w:t>
            </w: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, acc=True)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1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Grafica las curvas de entrenamiento (loss) para el training y testing set. Si el parámetro “acc” es True grafica también la curva para el Accuracy.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2">
            <w:pPr>
              <w:spacing w:after="0" w:before="120" w:line="240" w:lineRule="auto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plot_confusion_matrix(y_true, y_pred)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Grafica la matriz de confusión para los vectores de clases pasados como argumento.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after="0" w:before="120" w:line="240" w:lineRule="auto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print_classification_report(y_true, y_pred)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Imprime en consola un reporte del accuracy para los vectores de clases pasados como argumento. Si la clasificación es binaria se imprime además el precision, recall y f-measure.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after="0" w:before="120" w:line="240" w:lineRule="auto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plot_ROC_curve(modelo, x, y)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7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  <w:sz w:val="20"/>
                <w:szCs w:val="20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sz w:val="20"/>
                <w:szCs w:val="20"/>
                <w:rtl w:val="0"/>
              </w:rPr>
              <w:t xml:space="preserve">Grafica las curvas ROC y precision-recall para el modelo entrenado y para el conjunto pasado como argumento.</w:t>
            </w:r>
          </w:p>
        </w:tc>
      </w:tr>
    </w:tbl>
    <w:p w:rsidR="00000000" w:rsidDel="00000000" w:rsidP="00000000" w:rsidRDefault="00000000" w:rsidRPr="00000000" w14:paraId="00000058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120" w:line="240" w:lineRule="auto"/>
        <w:jc w:val="both"/>
        <w:rPr/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4.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Realizá el mismo procedimiento que el ejercicio anterior, pero para los datasets descriptos a continuación. Recorda que las redes neuronales son sensibles a la escala de los datos. Intentá encontrar un balance adecuado entre precision y recall utilizando el parámetro class_weight del método </w:t>
      </w:r>
      <w:hyperlink r:id="rId8">
        <w:r w:rsidDel="00000000" w:rsidR="00000000" w:rsidRPr="00000000">
          <w:rPr>
            <w:rFonts w:ascii="Fira Sans Light" w:cs="Fira Sans Light" w:eastAsia="Fira Sans Light" w:hAnsi="Fira Sans Light"/>
            <w:color w:val="1155cc"/>
            <w:u w:val="single"/>
            <w:rtl w:val="0"/>
          </w:rPr>
          <w:t xml:space="preserve">fit</w:t>
        </w:r>
      </w:hyperlink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120" w:line="240" w:lineRule="auto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</w:t>
      </w:r>
    </w:p>
    <w:tbl>
      <w:tblPr>
        <w:tblStyle w:val="Table3"/>
        <w:tblW w:w="9071.0" w:type="dxa"/>
        <w:jc w:val="left"/>
        <w:tblInd w:w="137.0" w:type="dxa"/>
        <w:tblLayout w:type="fixed"/>
        <w:tblLook w:val="0400"/>
      </w:tblPr>
      <w:tblGrid>
        <w:gridCol w:w="1837"/>
        <w:gridCol w:w="7234"/>
        <w:tblGridChange w:id="0">
          <w:tblGrid>
            <w:gridCol w:w="1837"/>
            <w:gridCol w:w="7234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spacing w:after="0" w:before="12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Titanic.csv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Información sobre diferentes pasajeros del Titanic indicando si sobrevivió o no al viaje.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0" w:before="12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Diabetes.csv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Dataset con información sobre pacientes, indicando si cada uno tiene o no diabetes gestacional.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after="0" w:before="120" w:line="240" w:lineRule="auto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Ecoli.csv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0" w:before="120" w:line="240" w:lineRule="auto"/>
              <w:jc w:val="both"/>
              <w:rPr>
                <w:rFonts w:ascii="Fira Sans Light" w:cs="Fira Sans Light" w:eastAsia="Fira Sans Light" w:hAnsi="Fira Sans Light"/>
              </w:rPr>
            </w:pPr>
            <w:r w:rsidDel="00000000" w:rsidR="00000000" w:rsidRPr="00000000">
              <w:rPr>
                <w:rFonts w:ascii="Fira Sans Light" w:cs="Fira Sans Light" w:eastAsia="Fira Sans Light" w:hAnsi="Fira Sans Light"/>
                <w:rtl w:val="0"/>
              </w:rPr>
              <w:t xml:space="preserve">Información de proteínas de pacientes, indicando si presenta o no una enfermedad.</w:t>
            </w:r>
          </w:p>
        </w:tc>
      </w:tr>
    </w:tbl>
    <w:p w:rsidR="00000000" w:rsidDel="00000000" w:rsidP="00000000" w:rsidRDefault="00000000" w:rsidRPr="00000000" w14:paraId="00000061">
      <w:pPr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En los conjuntos de Diabetes y Ecoli, ¿cuál es el 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precision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más alto que podés obtener, manteniendo el recall cercano a 1?</w:t>
      </w:r>
    </w:p>
    <w:p w:rsidR="00000000" w:rsidDel="00000000" w:rsidP="00000000" w:rsidRDefault="00000000" w:rsidRPr="00000000" w14:paraId="00000062">
      <w:pPr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5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(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opcional,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solo si no tenés experiencia con imágenes en numpy). Los notebooks de Jupyter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Tutorial de numpy.ipynb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y </w:t>
      </w: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Tutorial de procesamiento de imágenes.ipynb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te introducen a como manipular matrices de numpy, en particular aquellas que representan imágenes.</w:t>
      </w:r>
    </w:p>
    <w:sectPr>
      <w:headerReference r:id="rId9" w:type="default"/>
      <w:footerReference r:id="rId10" w:type="default"/>
      <w:pgSz w:h="16838" w:w="11906" w:orient="portrait"/>
      <w:pgMar w:bottom="1276" w:top="940" w:left="1418" w:right="1558" w:header="851" w:footer="56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Fir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tabs>
        <w:tab w:val="center" w:pos="4252"/>
        <w:tab w:val="right" w:pos="8504"/>
      </w:tabs>
      <w:spacing w:after="0" w:before="0" w:line="240" w:lineRule="auto"/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Bdr>
        <w:bottom w:color="000000" w:space="1" w:sz="6" w:val="single"/>
      </w:pBdr>
      <w:tabs>
        <w:tab w:val="center" w:pos="4252"/>
        <w:tab w:val="right" w:pos="8504"/>
      </w:tabs>
      <w:spacing w:after="0" w:before="0" w:line="240" w:lineRule="auto"/>
      <w:ind w:left="-284" w:firstLine="0"/>
      <w:jc w:val="right"/>
      <w:rPr>
        <w:sz w:val="18"/>
        <w:szCs w:val="18"/>
      </w:rPr>
    </w:pPr>
    <w:r w:rsidDel="00000000" w:rsidR="00000000" w:rsidRPr="00000000">
      <w:rPr>
        <w:rtl w:val="0"/>
      </w:rPr>
      <w:t xml:space="preserve">Redes Neuronales – UBA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tabs>
        <w:tab w:val="center" w:pos="4252"/>
        <w:tab w:val="right" w:pos="8504"/>
      </w:tabs>
      <w:spacing w:after="0" w:before="0" w:line="240" w:lineRule="auto"/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AR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Normal1" w:default="1">
    <w:name w:val="LO-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AR"/>
    </w:rPr>
  </w:style>
  <w:style w:type="paragraph" w:styleId="Title">
    <w:name w:val="Title"/>
    <w:basedOn w:val="Normal1"/>
    <w:next w:val="Normal1"/>
    <w:qFormat w:val="1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localhost:8888/" TargetMode="External"/><Relationship Id="rId8" Type="http://schemas.openxmlformats.org/officeDocument/2006/relationships/hyperlink" Target="https://keras.io/api/models/model_training_api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-regular.ttf"/><Relationship Id="rId2" Type="http://schemas.openxmlformats.org/officeDocument/2006/relationships/font" Target="fonts/FiraSans-bold.ttf"/><Relationship Id="rId3" Type="http://schemas.openxmlformats.org/officeDocument/2006/relationships/font" Target="fonts/FiraSans-italic.ttf"/><Relationship Id="rId4" Type="http://schemas.openxmlformats.org/officeDocument/2006/relationships/font" Target="fonts/FiraSans-boldItalic.ttf"/><Relationship Id="rId5" Type="http://schemas.openxmlformats.org/officeDocument/2006/relationships/font" Target="fonts/FiraSansLight-regular.ttf"/><Relationship Id="rId6" Type="http://schemas.openxmlformats.org/officeDocument/2006/relationships/font" Target="fonts/FiraSansLight-bold.ttf"/><Relationship Id="rId7" Type="http://schemas.openxmlformats.org/officeDocument/2006/relationships/font" Target="fonts/FiraSansLight-italic.ttf"/><Relationship Id="rId8" Type="http://schemas.openxmlformats.org/officeDocument/2006/relationships/font" Target="fonts/Fira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1Z7RTUKE15dIMakqLnjcJDx4+Q==">AMUW2mW35nNDHGEzle6CGf6guVnip12h5girEXtLLTB471ztLXHHtjquQouoDgJQ6VrFakWob+GuOUf1MyW8vrjYtYIFv+//4A44LBIOUvjVKtSMjWQIawPG5gprb6H0tytDFmlufDclrxoVoixQacNXZZyh9oZsUBxegyrHdCHFI0zjlKt7pA9x1gLCp46rA41n7U5wu0PCyVcnFcp+CkK93t8bthZdV7CdtfriTx28dir7aVrl7pSmh5w1Q15VsBCjRHgiCr03JeULX0xpqqi8QbvlivafRkxcNowiyQe4O7IqjeJxk+zn+hslmFf7mB6w8mjMTGDhMqnM83c0t9PY69auvQxjqL2kso6TuJoOQLkpK0+BHh3LFMwGlewH5NFEQjo2O7s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