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40" w:line="312" w:lineRule="auto"/>
        <w:jc w:val="center"/>
      </w:pPr>
      <w:r>
        <w:rPr>
          <w:rFonts w:ascii="Times New Roman" w:hAnsi="Times New Roman" w:eastAsia="SimHei" w:cs="Times New Roman"/>
          <w:b/>
          <w:i w:val="0"/>
          <w:sz w:val="36"/>
        </w:rPr>
        <w:t>“无利害”并非冷漠——康德审美判断的自由与公共性</w:t>
      </w:r>
    </w:p>
    <w:p>
      <w:pPr>
        <w:spacing w:before="0" w:after="280" w:line="360" w:lineRule="auto"/>
        <w:jc w:val="center"/>
      </w:pPr>
      <w:r>
        <w:rPr>
          <w:rFonts w:ascii="Times New Roman" w:hAnsi="Times New Roman" w:eastAsia="SimSun" w:cs="Times New Roman"/>
          <w:b w:val="0"/>
          <w:i w:val="0"/>
          <w:sz w:val="21"/>
        </w:rPr>
        <w:t>课程名称：____________________    学生姓名：____________________</w:t>
        <w:br/>
        <w:t>学生学号：____________________    所属院系：____________________</w:t>
        <w:br/>
        <w:t>指导教师：____________________    提交日期：2026 年 ___ 月 ___ 日</w:t>
      </w:r>
    </w:p>
    <w:p>
      <w:pPr>
        <w:spacing w:before="120" w:after="80" w:line="336" w:lineRule="auto"/>
        <w:ind w:firstLine="420"/>
        <w:jc w:val="both"/>
      </w:pPr>
      <w:r>
        <w:rPr>
          <w:rFonts w:ascii="Times New Roman" w:hAnsi="Times New Roman" w:eastAsia="SimHei" w:cs="Times New Roman"/>
          <w:b/>
          <w:i w:val="0"/>
          <w:sz w:val="21"/>
        </w:rPr>
        <w:t>【摘  要】</w:t>
      </w:r>
      <w:r>
        <w:rPr>
          <w:rFonts w:ascii="Times New Roman" w:hAnsi="Times New Roman" w:eastAsia="KaiTi" w:cs="Times New Roman"/>
          <w:b w:val="0"/>
          <w:i w:val="0"/>
          <w:sz w:val="21"/>
        </w:rPr>
        <w:t>在康德批判美学体系中，“无利害的愉悦”（interesseloses Wohlgefallen）常被后世批判者（如黑格尔、尼采乃至当代某些社会学美学）误读为一种脱离现实、情感冷漠的形式主义遁词。本文立足《判断力批判》的先验哲学脉络，系统澄清这一历史误读。首先，康德所界定的“无利害”，实质上是将审美鉴赏判断（Geschmacksurteil）与对快适（das Angenehme）的生理官能欲求及对善（das Gute）的概念性道德与实用功用相剥离，以此保障审美主体在纯粹直观中达到想象力与知性的“自由游戏”（freies Spiel）。其次，“无利害”绝非取消主体的情感体验与社会联结，反而正是由于排除了个体私利与独占欲望，审美判断才获得了超越私人偶然性的“主观普遍有效性”（subjektive Allgemeingültigkeit），进而奠定了基于“共同感觉力”（sensus communis）的审美公共性与普遍可传达性。最后，针对“形式主义孤立艺术”的反方反驳，本文论证了康德在美与德性之间建立的深层隐喻关联——“美是道德上的善的象征”。综上，康德的“无利害”不仅不是主体对世界的冷漠退缩，反而是审美自由从功利桎梏中突围并通向主体间理性对话与公共交往的前提。</w:t>
      </w:r>
    </w:p>
    <w:p>
      <w:pPr>
        <w:spacing w:before="40" w:after="280" w:line="336" w:lineRule="auto"/>
        <w:ind w:firstLine="420"/>
        <w:jc w:val="both"/>
      </w:pPr>
      <w:r>
        <w:rPr>
          <w:rFonts w:ascii="Times New Roman" w:hAnsi="Times New Roman" w:eastAsia="SimHei" w:cs="Times New Roman"/>
          <w:b/>
          <w:i w:val="0"/>
          <w:sz w:val="21"/>
        </w:rPr>
        <w:t>【关键词】</w:t>
      </w:r>
      <w:r>
        <w:rPr>
          <w:rFonts w:ascii="Times New Roman" w:hAnsi="Times New Roman" w:eastAsia="KaiTi" w:cs="Times New Roman"/>
          <w:b w:val="0"/>
          <w:i w:val="0"/>
          <w:sz w:val="21"/>
        </w:rPr>
        <w:t>康德；审美判断；无利害；自由游戏；共同感觉力；公共性</w:t>
      </w:r>
    </w:p>
    <w:p>
      <w:pPr>
        <w:spacing w:before="280" w:after="120" w:line="360" w:lineRule="auto"/>
        <w:ind w:firstLine="0"/>
        <w:jc w:val="left"/>
      </w:pPr>
      <w:r>
        <w:rPr>
          <w:rFonts w:ascii="Times New Roman" w:hAnsi="Times New Roman" w:eastAsia="SimHei" w:cs="Times New Roman"/>
          <w:b/>
          <w:i w:val="0"/>
          <w:sz w:val="28"/>
        </w:rPr>
        <w:t>一、 问题提出：对康德“无利害”概念的冷漠化误读与反思</w:t>
      </w:r>
    </w:p>
    <w:p>
      <w:pPr>
        <w:spacing w:before="0" w:after="0" w:line="360" w:lineRule="auto"/>
        <w:ind w:firstLine="480"/>
        <w:jc w:val="both"/>
      </w:pPr>
      <w:r>
        <w:rPr>
          <w:rFonts w:ascii="Times New Roman" w:hAnsi="Times New Roman" w:eastAsia="SimSun" w:cs="Times New Roman"/>
          <w:b w:val="0"/>
          <w:i w:val="0"/>
          <w:sz w:val="24"/>
        </w:rPr>
        <w:t>自1790年康德发表《判断力批判》（Kritik der Urteilskraft）以来，“鉴赏是对一个对象或一种表象方式通过不带任何利害的愉悦或不悦而进行评判的能力”这一著名命题，便奠定了现代西方自律美学的核心基石。然而，在美学思想史的长河中，康德的“无利害”（Interesselosigkeit / Disinterestedness）概念也遭受了极为深重且普遍的误解与批评。</w:t>
      </w:r>
    </w:p>
    <w:p>
      <w:pPr>
        <w:spacing w:before="0" w:after="0" w:line="360" w:lineRule="auto"/>
        <w:ind w:firstLine="480"/>
        <w:jc w:val="both"/>
      </w:pPr>
      <w:r>
        <w:rPr>
          <w:rFonts w:ascii="Times New Roman" w:hAnsi="Times New Roman" w:eastAsia="SimSun" w:cs="Times New Roman"/>
          <w:b w:val="0"/>
          <w:i w:val="0"/>
          <w:sz w:val="24"/>
        </w:rPr>
        <w:t>在黑格尔看来，康德的美学停留在主观反思与抽象形式之中，未能把握艺术作为绝对精神感性显现的历史实体性；尼采更是在《道德的谱系》中对康德发起了辛辣的批评，认为康德的无利害审美是对激荡人心的生命力量的虚伪净化；而在二十世纪的法兰克福学派与皮埃尔·布尔迪厄等社会学美学视野下，无利害鉴赏往往被指责为资产阶级借以标榜自身超越功利、掩盖阶级文化区隔的“去政治化”修辞。</w:t>
      </w:r>
    </w:p>
    <w:p>
      <w:pPr>
        <w:spacing w:before="0" w:after="0" w:line="360" w:lineRule="auto"/>
        <w:ind w:firstLine="480"/>
        <w:jc w:val="both"/>
      </w:pPr>
      <w:r>
        <w:rPr>
          <w:rFonts w:ascii="Times New Roman" w:hAnsi="Times New Roman" w:eastAsia="SimSun" w:cs="Times New Roman"/>
          <w:b w:val="0"/>
          <w:i w:val="0"/>
          <w:sz w:val="24"/>
        </w:rPr>
        <w:t>这些批判共同构筑了一种流俗的印象：即康德的“无利害”是一种剥离了生命热度、脱离了现实社会关怀的情感冷漠与形式主义禁欲。然而，倘若我们审慎地返回康德先验哲学的原初语境，就会发现这种“冷漠论”完全遮蔽了康德美学深邃的解放品格。康德提出“无利害”，非但不是倡导情感的麻木或主体间的孤立，反而是为了将人类从感官奴役与功利计算中解放出来，确证审美自由，并以此奠定一种具有高度主体间性（Intersubjectivity）的“审美公共性”。</w:t>
      </w:r>
    </w:p>
    <w:p>
      <w:pPr>
        <w:spacing w:before="280" w:after="120" w:line="360" w:lineRule="auto"/>
        <w:ind w:firstLine="0"/>
        <w:jc w:val="left"/>
      </w:pPr>
      <w:r>
        <w:rPr>
          <w:rFonts w:ascii="Times New Roman" w:hAnsi="Times New Roman" w:eastAsia="SimHei" w:cs="Times New Roman"/>
          <w:b/>
          <w:i w:val="0"/>
          <w:sz w:val="28"/>
        </w:rPr>
        <w:t>二、 超越感官与功利：“无利害”的先验定位与审美自由</w:t>
      </w:r>
    </w:p>
    <w:p>
      <w:pPr>
        <w:spacing w:before="160" w:after="80" w:line="360" w:lineRule="auto"/>
        <w:ind w:firstLine="0"/>
        <w:jc w:val="left"/>
      </w:pPr>
      <w:r>
        <w:rPr>
          <w:rFonts w:ascii="Times New Roman" w:hAnsi="Times New Roman" w:eastAsia="SimHei" w:cs="Times New Roman"/>
          <w:b/>
          <w:i w:val="0"/>
          <w:sz w:val="24"/>
        </w:rPr>
        <w:t>（一） 三种快感之辨：快适、善与纯粹鉴赏愉悦</w:t>
      </w:r>
    </w:p>
    <w:p>
      <w:pPr>
        <w:spacing w:before="0" w:after="0" w:line="360" w:lineRule="auto"/>
        <w:ind w:firstLine="480"/>
        <w:jc w:val="both"/>
      </w:pPr>
      <w:r>
        <w:rPr>
          <w:rFonts w:ascii="Times New Roman" w:hAnsi="Times New Roman" w:eastAsia="SimSun" w:cs="Times New Roman"/>
          <w:b w:val="0"/>
          <w:i w:val="0"/>
          <w:sz w:val="24"/>
        </w:rPr>
        <w:t>为了精确界定审美判断的独特本性，康德在《判断力批判》第一分析论的第一契机中，对人类心灵所体验到的三种不同类型的“愉悦”（Wohlgefallen）进行了严格的先验划界：对“快适”（das Angenehme）的愉悦、对“善”（das Gute）的愉悦以及对“美”（das Schöne）的愉悦。</w:t>
      </w:r>
    </w:p>
    <w:p>
      <w:pPr>
        <w:spacing w:before="0" w:after="0" w:line="360" w:lineRule="auto"/>
        <w:ind w:firstLine="480"/>
        <w:jc w:val="both"/>
      </w:pPr>
      <w:r>
        <w:rPr>
          <w:rFonts w:ascii="Times New Roman" w:hAnsi="Times New Roman" w:eastAsia="SimSun" w:cs="Times New Roman"/>
          <w:b w:val="0"/>
          <w:i w:val="0"/>
          <w:sz w:val="24"/>
        </w:rPr>
        <w:t>所谓“快适”，是指对象在感官感觉中引起的满足（如饮食之乐或肉体舒适）。这种快感完全受制于生物机体的生理欲求，与对象的实际存在有着最直接的“利害关联”（Interest）——主体渴望占有该对象并维持其存在。正因为受制于私人身体的偶然后天感受，快适必然是因人而异、无法要求普遍认同的（“各人有各人的口味”）。</w:t>
      </w:r>
    </w:p>
    <w:p>
      <w:pPr>
        <w:spacing w:before="0" w:after="0" w:line="360" w:lineRule="auto"/>
        <w:ind w:firstLine="480"/>
        <w:jc w:val="both"/>
      </w:pPr>
      <w:r>
        <w:rPr>
          <w:rFonts w:ascii="Times New Roman" w:hAnsi="Times New Roman" w:eastAsia="SimSun" w:cs="Times New Roman"/>
          <w:b w:val="0"/>
          <w:i w:val="0"/>
          <w:sz w:val="24"/>
        </w:rPr>
        <w:t>所谓“善”，则是通过纯粹理性概念与某种目的（无论是实用的功利目的还是纯粹的道德律令目的）相联结的愉悦。在这里，主体不仅对对象具有极强的利害关切（追求功用或追求道德行动的实现），而且这种关切始终受制于概念的规训与意志的必然律令。</w:t>
      </w:r>
    </w:p>
    <w:p>
      <w:pPr>
        <w:spacing w:before="0" w:after="0" w:line="360" w:lineRule="auto"/>
        <w:ind w:firstLine="480"/>
        <w:jc w:val="both"/>
      </w:pPr>
      <w:r>
        <w:rPr>
          <w:rFonts w:ascii="Times New Roman" w:hAnsi="Times New Roman" w:eastAsia="SimSun" w:cs="Times New Roman"/>
          <w:b w:val="0"/>
          <w:i w:val="0"/>
          <w:sz w:val="24"/>
        </w:rPr>
        <w:t>唯有对“美”的鉴赏愉悦，是全然“无利害”的。在鉴赏一朵野花或一幅画作的美时，主体既不渴望将其据为己有、吞咽消费（排除生理欲求的利害），也不过问它到底有何实际效用或是否符合抽象的道德概念（排除功利与概念的利害）。主体所凝神观照的，纯然是对象的形式表象在主体心灵中所激起的和谐共鸣。由此可见，“无利害”绝非否定主体的感受能力，而是剔除了对外在对象“占有欲”与“工具化算计”之后的纯粹感性显现。</w:t>
      </w:r>
    </w:p>
    <w:p>
      <w:pPr>
        <w:spacing w:before="160" w:after="80" w:line="360" w:lineRule="auto"/>
        <w:ind w:firstLine="0"/>
        <w:jc w:val="left"/>
      </w:pPr>
      <w:r>
        <w:rPr>
          <w:rFonts w:ascii="Times New Roman" w:hAnsi="Times New Roman" w:eastAsia="SimHei" w:cs="Times New Roman"/>
          <w:b/>
          <w:i w:val="0"/>
          <w:sz w:val="24"/>
        </w:rPr>
        <w:t>（二） 形式的合目的性与认识诸能力的“自由游戏”</w:t>
      </w:r>
    </w:p>
    <w:p>
      <w:pPr>
        <w:spacing w:before="0" w:after="0" w:line="360" w:lineRule="auto"/>
        <w:ind w:firstLine="480"/>
        <w:jc w:val="both"/>
      </w:pPr>
      <w:r>
        <w:rPr>
          <w:rFonts w:ascii="Times New Roman" w:hAnsi="Times New Roman" w:eastAsia="SimSun" w:cs="Times New Roman"/>
          <w:b w:val="0"/>
          <w:i w:val="0"/>
          <w:sz w:val="24"/>
        </w:rPr>
        <w:t>在排除了生理与功利利害之后，审美主体的内在心理机制究竟发生了怎样的变化？康德给出的先验解释是：主体的心灵进入了想象力（Einbildungskraft）与知性（Verstand）的“自由游戏”（Freies Spiel）状态。</w:t>
      </w:r>
    </w:p>
    <w:p>
      <w:pPr>
        <w:spacing w:before="0" w:after="0" w:line="360" w:lineRule="auto"/>
        <w:ind w:firstLine="480"/>
        <w:jc w:val="both"/>
      </w:pPr>
      <w:r>
        <w:rPr>
          <w:rFonts w:ascii="Times New Roman" w:hAnsi="Times New Roman" w:eastAsia="SimSun" w:cs="Times New Roman"/>
          <w:b w:val="0"/>
          <w:i w:val="0"/>
          <w:sz w:val="24"/>
        </w:rPr>
        <w:t>在认识活动中，想象力负责综合直观材料，但必须严格臣服于知性概念的规定之下（知性立法）；在道德活动中，感性冲动必须绝对服从实践理性的道德律令（理性立法）。唯独在无利害的审美判断中，对象展现出一种“无目的的合目的性”（Zweckmäßigkeit ohne Zweck）——没有任何具体的认知概念来强行规制想象力，但想象力的自由综合又奇迹般地与知性寻求规则的普遍倾向处于和谐共振之中。</w:t>
      </w:r>
    </w:p>
    <w:p>
      <w:pPr>
        <w:spacing w:before="0" w:after="0" w:line="360" w:lineRule="auto"/>
        <w:ind w:firstLine="480"/>
        <w:jc w:val="both"/>
      </w:pPr>
      <w:r>
        <w:rPr>
          <w:rFonts w:ascii="Times New Roman" w:hAnsi="Times New Roman" w:eastAsia="SimSun" w:cs="Times New Roman"/>
          <w:b w:val="0"/>
          <w:i w:val="0"/>
          <w:sz w:val="24"/>
        </w:rPr>
        <w:t>这种自由游戏不仅没有压抑主体的生命感，反而使主体处于一种高度活跃、充盈而无阻碍的生命感受状态（Lebensgefühl）。因此，“无利害”恰恰是审美自由的先决条件：它打破了知性概念的僵硬牢笼与感官欲求的被动牵引，赋予了主体心灵前所未有的自在与自律。</w:t>
      </w:r>
    </w:p>
    <w:p>
      <w:pPr>
        <w:spacing w:before="280" w:after="120" w:line="360" w:lineRule="auto"/>
        <w:ind w:firstLine="0"/>
        <w:jc w:val="left"/>
      </w:pPr>
      <w:r>
        <w:rPr>
          <w:rFonts w:ascii="Times New Roman" w:hAnsi="Times New Roman" w:eastAsia="SimHei" w:cs="Times New Roman"/>
          <w:b/>
          <w:i w:val="0"/>
          <w:sz w:val="28"/>
        </w:rPr>
        <w:t>三、 从纯粹主观到主体间性：审美判断的公共性建构</w:t>
      </w:r>
    </w:p>
    <w:p>
      <w:pPr>
        <w:spacing w:before="160" w:after="80" w:line="360" w:lineRule="auto"/>
        <w:ind w:firstLine="0"/>
        <w:jc w:val="left"/>
      </w:pPr>
      <w:r>
        <w:rPr>
          <w:rFonts w:ascii="Times New Roman" w:hAnsi="Times New Roman" w:eastAsia="SimHei" w:cs="Times New Roman"/>
          <w:b/>
          <w:i w:val="0"/>
          <w:sz w:val="24"/>
        </w:rPr>
        <w:t>（一） 摆脱私欲所达致的主观普遍有效性</w:t>
      </w:r>
    </w:p>
    <w:p>
      <w:pPr>
        <w:spacing w:before="0" w:after="0" w:line="360" w:lineRule="auto"/>
        <w:ind w:firstLine="480"/>
        <w:jc w:val="both"/>
      </w:pPr>
      <w:r>
        <w:rPr>
          <w:rFonts w:ascii="Times New Roman" w:hAnsi="Times New Roman" w:eastAsia="SimSun" w:cs="Times New Roman"/>
          <w:b w:val="0"/>
          <w:i w:val="0"/>
          <w:sz w:val="24"/>
        </w:rPr>
        <w:t>对康德“无利害”的另一大严重指责，是认为其导致了主体的自我封闭，割裂了艺术与公共生活的联系。然而，在先验论证的逻辑中，情况恰恰完全相反：正因为审美判断是“无利害”的，它才拥有了通向公共领域的必然通行证。</w:t>
      </w:r>
    </w:p>
    <w:p>
      <w:pPr>
        <w:spacing w:before="0" w:after="0" w:line="360" w:lineRule="auto"/>
        <w:ind w:firstLine="480"/>
        <w:jc w:val="both"/>
      </w:pPr>
      <w:r>
        <w:rPr>
          <w:rFonts w:ascii="Times New Roman" w:hAnsi="Times New Roman" w:eastAsia="SimSun" w:cs="Times New Roman"/>
          <w:b w:val="0"/>
          <w:i w:val="0"/>
          <w:sz w:val="24"/>
        </w:rPr>
        <w:t>康德在第二契机中精辟地指出，当一个人意识到自己对某个对象的愉悦不夹杂任何私人个体的偏好与私利关切时，他就会必然推定：这一愉悦并非源自专属于他个人的偶然生理特质，而是建立在所有人类共有的认识心智结构之上。因此，他完全有理由要求（ansinnen）每一个他人也体验到同样的愉悦。</w:t>
      </w:r>
    </w:p>
    <w:p>
      <w:pPr>
        <w:spacing w:before="0" w:after="0" w:line="360" w:lineRule="auto"/>
        <w:ind w:firstLine="480"/>
        <w:jc w:val="both"/>
      </w:pPr>
      <w:r>
        <w:rPr>
          <w:rFonts w:ascii="Times New Roman" w:hAnsi="Times New Roman" w:eastAsia="SimSun" w:cs="Times New Roman"/>
          <w:b w:val="0"/>
          <w:i w:val="0"/>
          <w:sz w:val="24"/>
        </w:rPr>
        <w:t>审美判断虽然在本质上是主观的（不基于客观概念，无法通过逻辑证明强制达成），但它却要求一种“主观普遍有效性”（Subjektive Allgemeingültigkeit）。我们在赞叹“这朵玫瑰是美的”时，绝不是在陈述一句私人自语，而是在向一切可能的主体发出一种普遍认同的召唤与期待。私利的排他性与占有性是造成人与人之间隔阂的根源，而无利害的鉴赏则清除了这种排他壁垒，使审美成为所有人均可无差别共享的精神空间。</w:t>
      </w:r>
    </w:p>
    <w:p>
      <w:pPr>
        <w:spacing w:before="160" w:after="80" w:line="360" w:lineRule="auto"/>
        <w:ind w:firstLine="0"/>
        <w:jc w:val="left"/>
      </w:pPr>
      <w:r>
        <w:rPr>
          <w:rFonts w:ascii="Times New Roman" w:hAnsi="Times New Roman" w:eastAsia="SimHei" w:cs="Times New Roman"/>
          <w:b/>
          <w:i w:val="0"/>
          <w:sz w:val="24"/>
        </w:rPr>
        <w:t>（二） 共同感觉力（sensus communis）：作为交往基础的普遍可传达性</w:t>
      </w:r>
    </w:p>
    <w:p>
      <w:pPr>
        <w:spacing w:before="0" w:after="0" w:line="360" w:lineRule="auto"/>
        <w:ind w:firstLine="480"/>
        <w:jc w:val="both"/>
      </w:pPr>
      <w:r>
        <w:rPr>
          <w:rFonts w:ascii="Times New Roman" w:hAnsi="Times New Roman" w:eastAsia="SimSun" w:cs="Times New Roman"/>
          <w:b w:val="0"/>
          <w:i w:val="0"/>
          <w:sz w:val="24"/>
        </w:rPr>
        <w:t>为了给这种主观普遍性奠定本体论基石，康德在《判断力批判》第20至22节及第40节中，隆重推出了“共同感觉力”（Sensus communis / Gemeinsinn）的概念。康德明确将共同感觉力界定为一种“公共感”，其核心在于主体能够摆脱自身的狭隘偏执，站在一切他人的立场上进行思考与感受（即“扩大的思维方式”，erweiterte Denkungsart）。</w:t>
      </w:r>
    </w:p>
    <w:p>
      <w:pPr>
        <w:spacing w:before="0" w:after="0" w:line="360" w:lineRule="auto"/>
        <w:ind w:firstLine="480"/>
        <w:jc w:val="both"/>
      </w:pPr>
      <w:r>
        <w:rPr>
          <w:rFonts w:ascii="Times New Roman" w:hAnsi="Times New Roman" w:eastAsia="SimSun" w:cs="Times New Roman"/>
          <w:b w:val="0"/>
          <w:i w:val="0"/>
          <w:sz w:val="24"/>
        </w:rPr>
        <w:t>共同感觉力不是由经验调查得出的统计平均值，而是理性存在者之间能够进行普遍情感传达的先验前提。在无利害的审美鉴赏中，我们体验到的不仅仅是对客体形式的喜悦，更是在体验“我们自身的心灵状态具有可普遍传达性”（Allgemeine Mitteilbarkeit）这一事实本身所带来的崇高快乐。正如汉娜·阿伦特在解读康德美学时敏锐指出的，康德的审美判断力实际上蕴含着一种深邃的政治哲学雏形——它通过共同感觉力与普遍传达的要求，构筑了一个人人平等参与、通过非强迫性共识展开理性对话与情感共鸣的理想公共领域。</w:t>
      </w:r>
    </w:p>
    <w:p>
      <w:pPr>
        <w:spacing w:before="280" w:after="120" w:line="360" w:lineRule="auto"/>
        <w:ind w:firstLine="0"/>
        <w:jc w:val="left"/>
      </w:pPr>
      <w:r>
        <w:rPr>
          <w:rFonts w:ascii="Times New Roman" w:hAnsi="Times New Roman" w:eastAsia="SimHei" w:cs="Times New Roman"/>
          <w:b/>
          <w:i w:val="0"/>
          <w:sz w:val="28"/>
        </w:rPr>
        <w:t>四、 辩驳与深化：无利害审美是否割裂了艺术与生命伦理？</w:t>
      </w:r>
    </w:p>
    <w:p>
      <w:pPr>
        <w:spacing w:before="160" w:after="80" w:line="360" w:lineRule="auto"/>
        <w:ind w:firstLine="0"/>
        <w:jc w:val="left"/>
      </w:pPr>
      <w:r>
        <w:rPr>
          <w:rFonts w:ascii="Times New Roman" w:hAnsi="Times New Roman" w:eastAsia="SimHei" w:cs="Times New Roman"/>
          <w:b/>
          <w:i w:val="0"/>
          <w:sz w:val="24"/>
        </w:rPr>
        <w:t>（一） 形式主义指责与社会关怀缺失之澄清</w:t>
      </w:r>
    </w:p>
    <w:p>
      <w:pPr>
        <w:spacing w:before="0" w:after="0" w:line="360" w:lineRule="auto"/>
        <w:ind w:firstLine="480"/>
        <w:jc w:val="both"/>
      </w:pPr>
      <w:r>
        <w:rPr>
          <w:rFonts w:ascii="Times New Roman" w:hAnsi="Times New Roman" w:eastAsia="SimSun" w:cs="Times New Roman"/>
          <w:b w:val="0"/>
          <w:i w:val="0"/>
          <w:sz w:val="24"/>
        </w:rPr>
        <w:t>面对社会学美学对于康德“脱离社会实践”的质疑，必须强调的是，康德区分“无利害”与“利害”，是在哲学认识论层面追问审美鉴赏得以可能的先验纯粹条件，而非要在现实经验层面将艺术与社会生活彻底隔离。</w:t>
      </w:r>
    </w:p>
    <w:p>
      <w:pPr>
        <w:spacing w:before="0" w:after="0" w:line="360" w:lineRule="auto"/>
        <w:ind w:firstLine="480"/>
        <w:jc w:val="both"/>
      </w:pPr>
      <w:r>
        <w:rPr>
          <w:rFonts w:ascii="Times New Roman" w:hAnsi="Times New Roman" w:eastAsia="SimSun" w:cs="Times New Roman"/>
          <w:b w:val="0"/>
          <w:i w:val="0"/>
          <w:sz w:val="24"/>
        </w:rPr>
        <w:t>如果在鉴赏的一开始就将阶级利益、政治目的或经济收益作为衡量的刚性标准，艺术就蜕变成了意识形态的宣传工具或商品交换的价值符号，其作为人类自由精神载体的独特光芒将被彻底抹杀。康德坚持无利害性，正是为了守护艺术不被外在功利体系彻底同化的最后尊严，为人类在工具理性高度发达的现代社会中保留一片超越实用计算的净土。</w:t>
      </w:r>
    </w:p>
    <w:p>
      <w:pPr>
        <w:spacing w:before="160" w:after="80" w:line="360" w:lineRule="auto"/>
        <w:ind w:firstLine="0"/>
        <w:jc w:val="left"/>
      </w:pPr>
      <w:r>
        <w:rPr>
          <w:rFonts w:ascii="Times New Roman" w:hAnsi="Times New Roman" w:eastAsia="SimHei" w:cs="Times New Roman"/>
          <w:b/>
          <w:i w:val="0"/>
          <w:sz w:val="24"/>
        </w:rPr>
        <w:t>（二） “美是道德上的善的象征”：审美对实践理性的先验桥接</w:t>
      </w:r>
    </w:p>
    <w:p>
      <w:pPr>
        <w:spacing w:before="0" w:after="0" w:line="360" w:lineRule="auto"/>
        <w:ind w:firstLine="480"/>
        <w:jc w:val="both"/>
      </w:pPr>
      <w:r>
        <w:rPr>
          <w:rFonts w:ascii="Times New Roman" w:hAnsi="Times New Roman" w:eastAsia="SimSun" w:cs="Times New Roman"/>
          <w:b w:val="0"/>
          <w:i w:val="0"/>
          <w:sz w:val="24"/>
        </w:rPr>
        <w:t>不仅如此，康德更在《判断力批判》第59节中提出了著名的结论：“美是道德上的善的象征（Das Schöne ist das Symbol des Sittlich-Guten）”。</w:t>
      </w:r>
    </w:p>
    <w:p>
      <w:pPr>
        <w:spacing w:before="0" w:after="0" w:line="360" w:lineRule="auto"/>
        <w:ind w:firstLine="480"/>
        <w:jc w:val="both"/>
      </w:pPr>
      <w:r>
        <w:rPr>
          <w:rFonts w:ascii="Times New Roman" w:hAnsi="Times New Roman" w:eastAsia="SimSun" w:cs="Times New Roman"/>
          <w:b w:val="0"/>
          <w:i w:val="0"/>
          <w:sz w:val="24"/>
        </w:rPr>
        <w:t>康德清晰地指出了美与善在先验结构上的深层同构性：首先，美直接引起愉悦，善亦直接引起愉悦；其次，二者皆脱离了感官快适的私利羁绊；再次，美的判断与善的判断都要求人人赞同的普遍有效性；最后，审美中的想象力自由对应着道德中意志自律的自由。通过这种象征机制，无利害的美成为了感性自然与超感性自由（道德）之间不可或缺的过渡桥梁。无利害绝非对伦理世界的冷酷背叛，恰恰相反，正是通过审美中对私欲的超越，人类才在感性直观中预演并培育了走向真正道德的敏感性与向善之心。</w:t>
      </w:r>
    </w:p>
    <w:p>
      <w:pPr>
        <w:spacing w:before="280" w:after="120" w:line="360" w:lineRule="auto"/>
        <w:ind w:firstLine="0"/>
        <w:jc w:val="left"/>
      </w:pPr>
      <w:r>
        <w:rPr>
          <w:rFonts w:ascii="Times New Roman" w:hAnsi="Times New Roman" w:eastAsia="SimHei" w:cs="Times New Roman"/>
          <w:b/>
          <w:i w:val="0"/>
          <w:sz w:val="28"/>
        </w:rPr>
        <w:t>五、 结语：无利害之维——当代功利主义焦虑下的审美解毒剂</w:t>
      </w:r>
    </w:p>
    <w:p>
      <w:pPr>
        <w:spacing w:before="0" w:after="0" w:line="360" w:lineRule="auto"/>
        <w:ind w:firstLine="480"/>
        <w:jc w:val="both"/>
      </w:pPr>
      <w:r>
        <w:rPr>
          <w:rFonts w:ascii="Times New Roman" w:hAnsi="Times New Roman" w:eastAsia="SimSun" w:cs="Times New Roman"/>
          <w:b w:val="0"/>
          <w:i w:val="0"/>
          <w:sz w:val="24"/>
        </w:rPr>
        <w:t>总而言之，康德美学中的“无利害”概念，既非对现实生活的冷漠退缩，亦非空洞苍白的形式主义教条。它实质上是一份宣告人类感性精神摆脱物欲奴役与实用功利束缚的“自由宣言”。通过将审美愉悦从肉体欲求与狭隘算计中剥离出来，康德不仅确立了审美活动的独立自律与主体自由，更借助“共同感觉力”揭示了审美判断通向主体间普遍交往与公共理解的深层潜能。</w:t>
      </w:r>
    </w:p>
    <w:p>
      <w:pPr>
        <w:spacing w:before="0" w:after="0" w:line="360" w:lineRule="auto"/>
        <w:ind w:firstLine="480"/>
        <w:jc w:val="both"/>
      </w:pPr>
      <w:r>
        <w:rPr>
          <w:rFonts w:ascii="Times New Roman" w:hAnsi="Times New Roman" w:eastAsia="SimSun" w:cs="Times New Roman"/>
          <w:b w:val="0"/>
          <w:i w:val="0"/>
          <w:sz w:val="24"/>
        </w:rPr>
        <w:t>在商品逻辑盛行、效用至上主义主导现代人生活的今天，重新理解并捍卫康德的“无利害”维度具有尤为迫切的时代意义。当我们面对自然奇观与伟大艺术品能够放下占有与算计的执念，敞开心扉体验那份不带私利的纯粹共鸣时，我们不仅重新获得了灵魂的自由，更在对公共感受力的重温中，找到了抵抗现代性原子化孤独与情感冷漠的坚实力量。</w:t>
      </w:r>
    </w:p>
    <w:p>
      <w:pPr>
        <w:spacing w:before="320" w:after="120" w:line="360" w:lineRule="auto"/>
        <w:ind w:firstLine="0"/>
        <w:jc w:val="left"/>
      </w:pPr>
      <w:r>
        <w:rPr>
          <w:rFonts w:ascii="Times New Roman" w:hAnsi="Times New Roman" w:eastAsia="SimHei" w:cs="Times New Roman"/>
          <w:b/>
          <w:i w:val="0"/>
          <w:sz w:val="26"/>
        </w:rPr>
        <w:t>参考文献</w:t>
      </w:r>
    </w:p>
    <w:p>
      <w:pPr>
        <w:spacing w:before="40" w:after="40" w:line="312" w:lineRule="auto"/>
        <w:ind w:left="420" w:hanging="420"/>
        <w:jc w:val="both"/>
      </w:pPr>
      <w:r>
        <w:rPr>
          <w:rFonts w:ascii="Times New Roman" w:hAnsi="Times New Roman" w:eastAsia="SimSun" w:cs="Times New Roman"/>
          <w:b w:val="0"/>
          <w:i w:val="0"/>
          <w:sz w:val="21"/>
        </w:rPr>
        <w:t>[1] 康德. 判断力批判[M]. 邓晓芒, 译, 杨祖陶, 校. 北京: 人民出版社, 2002.</w:t>
      </w:r>
    </w:p>
    <w:p>
      <w:pPr>
        <w:spacing w:before="40" w:after="40" w:line="312" w:lineRule="auto"/>
        <w:ind w:left="420" w:hanging="420"/>
        <w:jc w:val="both"/>
      </w:pPr>
      <w:r>
        <w:rPr>
          <w:rFonts w:ascii="Times New Roman" w:hAnsi="Times New Roman" w:eastAsia="SimSun" w:cs="Times New Roman"/>
          <w:b w:val="0"/>
          <w:i w:val="0"/>
          <w:sz w:val="21"/>
        </w:rPr>
        <w:t>[2] 康德. 纯粹理性批判[M]. 邓晓芒, 译, 杨祖陶, 校. 北京: 人民出版社, 2004.</w:t>
      </w:r>
    </w:p>
    <w:p>
      <w:pPr>
        <w:spacing w:before="40" w:after="40" w:line="312" w:lineRule="auto"/>
        <w:ind w:left="420" w:hanging="420"/>
        <w:jc w:val="both"/>
      </w:pPr>
      <w:r>
        <w:rPr>
          <w:rFonts w:ascii="Times New Roman" w:hAnsi="Times New Roman" w:eastAsia="SimSun" w:cs="Times New Roman"/>
          <w:b w:val="0"/>
          <w:i w:val="0"/>
          <w:sz w:val="21"/>
        </w:rPr>
        <w:t>[3] 劳拉·埃里森. 康德的鉴赏理论[M]. 丁三东, 译. 北京: 商务印书馆, 2018.</w:t>
      </w:r>
    </w:p>
    <w:p>
      <w:pPr>
        <w:spacing w:before="40" w:after="40" w:line="312" w:lineRule="auto"/>
        <w:ind w:left="420" w:hanging="420"/>
        <w:jc w:val="both"/>
      </w:pPr>
      <w:r>
        <w:rPr>
          <w:rFonts w:ascii="Times New Roman" w:hAnsi="Times New Roman" w:eastAsia="SimSun" w:cs="Times New Roman"/>
          <w:b w:val="0"/>
          <w:i w:val="0"/>
          <w:sz w:val="21"/>
        </w:rPr>
        <w:t>[4] 保罗·盖耶. 康德与鉴赏的要求[M]. 严平, 译. 北京: 商务印书馆, 2015.</w:t>
      </w:r>
    </w:p>
    <w:p>
      <w:pPr>
        <w:spacing w:before="40" w:after="40" w:line="312" w:lineRule="auto"/>
        <w:ind w:left="420" w:hanging="420"/>
        <w:jc w:val="both"/>
      </w:pPr>
      <w:r>
        <w:rPr>
          <w:rFonts w:ascii="Times New Roman" w:hAnsi="Times New Roman" w:eastAsia="SimSun" w:cs="Times New Roman"/>
          <w:b w:val="0"/>
          <w:i w:val="0"/>
          <w:sz w:val="21"/>
        </w:rPr>
        <w:t>[5] 汉娜·阿伦特. 康德政治哲学讲稿[M]. 曹明, 苏婉儿, 译. 上海: 上海人民出版社, 2013.</w:t>
      </w:r>
    </w:p>
    <w:p>
      <w:pPr>
        <w:spacing w:before="40" w:after="40" w:line="312" w:lineRule="auto"/>
        <w:ind w:left="420" w:hanging="420"/>
        <w:jc w:val="both"/>
      </w:pPr>
      <w:r>
        <w:rPr>
          <w:rFonts w:ascii="Times New Roman" w:hAnsi="Times New Roman" w:eastAsia="SimSun" w:cs="Times New Roman"/>
          <w:b w:val="0"/>
          <w:i w:val="0"/>
          <w:sz w:val="21"/>
        </w:rPr>
        <w:t>[6] 约翰·扎姆米托. 康德《判断力批判》的起源[M]. 王同舟, 译. 北京: 商务印书馆, 2021.</w:t>
      </w:r>
    </w:p>
    <w:sectPr w:rsidR="00FC693F" w:rsidRPr="0006063C" w:rsidSect="00034616">
      <w:footerReference w:type="default" r:id="rId9"/>
      <w:pgSz w:w="11909" w:h="16834"/>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s="Times New Roman"/>
        <w:b w:val="0"/>
        <w:i w:val="0"/>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