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40" w:line="312" w:lineRule="auto"/>
        <w:jc w:val="center"/>
      </w:pPr>
      <w:r>
        <w:rPr>
          <w:rFonts w:ascii="Times New Roman" w:hAnsi="Times New Roman" w:eastAsia="SimHei" w:cs="Times New Roman"/>
          <w:b/>
          <w:i w:val="0"/>
          <w:sz w:val="36"/>
        </w:rPr>
        <w:t>日神与酒神之间——尼采悲剧美学中的生命肯定</w:t>
      </w:r>
    </w:p>
    <w:p>
      <w:pPr>
        <w:spacing w:before="0" w:after="280" w:line="360" w:lineRule="auto"/>
        <w:jc w:val="center"/>
      </w:pPr>
      <w:r>
        <w:rPr>
          <w:rFonts w:ascii="Times New Roman" w:hAnsi="Times New Roman" w:eastAsia="SimSun" w:cs="Times New Roman"/>
          <w:b w:val="0"/>
          <w:i w:val="0"/>
          <w:sz w:val="21"/>
        </w:rPr>
        <w:t>课程名称：____________________    学生姓名：____________________</w:t>
        <w:br/>
        <w:t>学生学号：____________________    所属院系：____________________</w:t>
        <w:br/>
        <w:t>指导教师：____________________    提交日期：2026 年 ___ 月 ___ 日</w:t>
      </w:r>
    </w:p>
    <w:p>
      <w:pPr>
        <w:spacing w:before="120" w:after="80" w:line="336" w:lineRule="auto"/>
        <w:ind w:firstLine="420"/>
        <w:jc w:val="both"/>
      </w:pPr>
      <w:r>
        <w:rPr>
          <w:rFonts w:ascii="Times New Roman" w:hAnsi="Times New Roman" w:eastAsia="SimHei" w:cs="Times New Roman"/>
          <w:b/>
          <w:i w:val="0"/>
          <w:sz w:val="21"/>
        </w:rPr>
        <w:t>【摘  要】</w:t>
      </w:r>
      <w:r>
        <w:rPr>
          <w:rFonts w:ascii="Times New Roman" w:hAnsi="Times New Roman" w:eastAsia="KaiTi" w:cs="Times New Roman"/>
          <w:b w:val="0"/>
          <w:i w:val="0"/>
          <w:sz w:val="21"/>
        </w:rPr>
        <w:t>在《悲剧的诞生》中，尼采借助古希腊神话中的日神（阿波罗）与酒神（狄奥尼索斯）两大艺术冲动，构建了其早期独特的形而上学与美学体系。传统解读往往习惯于将日神与酒神视为秩序与混乱、梦幻与狂醉、理性与本能的静态二元对立，甚至将尼采简单归结为推崇非理性狂暴的唯酒神主义者。本文通过深入文本内部的辩证肌理，论证日神与酒神并非非此即彼的静态对立，而是一种相互缠绕、相生相成的动态张力机制。希腊悲剧的至高成就，恰恰在于用日神的清明形象与个体化外观（principium individuationis）化解并驯服酒神深渊那毁灭性的本原痛苦（Ur-Schmerz），同时借酒神的情感狂潮赋予日神假象以充沛深邃的生命原力。悲剧艺术通过这种双重视域的交融，赋予个体的毁灭以崇高的“形而上学慰藉”，从而根本性地克服了叔本华式的消极悲观主义与禁欲退缩，达成了对生命存在在审美视阈中的最高肯定（“唯有作为审美现象，存在与世界才获得永久的正当性”）。这一美学机制为深陷虚无主义困境的现代人提供了一条以艺术直面生存苦难并激扬生命意志的救赎路径。</w:t>
      </w:r>
    </w:p>
    <w:p>
      <w:pPr>
        <w:spacing w:before="40" w:after="280" w:line="336" w:lineRule="auto"/>
        <w:ind w:firstLine="420"/>
        <w:jc w:val="both"/>
      </w:pPr>
      <w:r>
        <w:rPr>
          <w:rFonts w:ascii="Times New Roman" w:hAnsi="Times New Roman" w:eastAsia="SimHei" w:cs="Times New Roman"/>
          <w:b/>
          <w:i w:val="0"/>
          <w:sz w:val="21"/>
        </w:rPr>
        <w:t>【关键词】</w:t>
      </w:r>
      <w:r>
        <w:rPr>
          <w:rFonts w:ascii="Times New Roman" w:hAnsi="Times New Roman" w:eastAsia="KaiTi" w:cs="Times New Roman"/>
          <w:b w:val="0"/>
          <w:i w:val="0"/>
          <w:sz w:val="21"/>
        </w:rPr>
        <w:t>尼采；《悲剧的诞生》；日神冲动；酒神冲动；生命肯定；形而上学慰藉</w:t>
      </w:r>
    </w:p>
    <w:p>
      <w:pPr>
        <w:spacing w:before="280" w:after="120" w:line="360" w:lineRule="auto"/>
        <w:ind w:firstLine="0"/>
        <w:jc w:val="left"/>
      </w:pPr>
      <w:r>
        <w:rPr>
          <w:rFonts w:ascii="Times New Roman" w:hAnsi="Times New Roman" w:eastAsia="SimHei" w:cs="Times New Roman"/>
          <w:b/>
          <w:i w:val="0"/>
          <w:sz w:val="28"/>
        </w:rPr>
        <w:t>一、 问题提出：悲剧之谜与二元对立叙事的局限</w:t>
      </w:r>
    </w:p>
    <w:p>
      <w:pPr>
        <w:spacing w:before="0" w:after="0" w:line="360" w:lineRule="auto"/>
        <w:ind w:firstLine="480"/>
        <w:jc w:val="both"/>
      </w:pPr>
      <w:r>
        <w:rPr>
          <w:rFonts w:ascii="Times New Roman" w:hAnsi="Times New Roman" w:eastAsia="SimSun" w:cs="Times New Roman"/>
          <w:b w:val="0"/>
          <w:i w:val="0"/>
          <w:sz w:val="24"/>
        </w:rPr>
        <w:t>1872年，青年尼采发表了他的开山之作《悲剧的诞生》（Die Geburt der Tragödie aus dem Geiste der Musik），在当时的古典语文学界掀起了轩然大波，并对后世二十世纪的哲学与文学思潮产生了深远激荡。在这部著作中，尼采借用古希腊泛神谱系中的两位神祇——日神阿波罗（Apollo）与酒神狄奥尼索斯（Dionysus），指认出植根于自然与人性深处的两种根本性艺术冲动（Kunsttriebe）。</w:t>
      </w:r>
    </w:p>
    <w:p>
      <w:pPr>
        <w:spacing w:before="0" w:after="0" w:line="360" w:lineRule="auto"/>
        <w:ind w:firstLine="480"/>
        <w:jc w:val="both"/>
      </w:pPr>
      <w:r>
        <w:rPr>
          <w:rFonts w:ascii="Times New Roman" w:hAnsi="Times New Roman" w:eastAsia="SimSun" w:cs="Times New Roman"/>
          <w:b w:val="0"/>
          <w:i w:val="0"/>
          <w:sz w:val="24"/>
        </w:rPr>
        <w:t>长期以来，通俗文化乃至部分哲学史教材在阐释尼采思想时，往往陷入一种简单化的“二元对立”模式：将日神等同于光明、理智、形式、克制与文明秩序，将酒神等同于黑暗、非理性、狂暴、毁灭与原始本能；进而将尼采的悲剧美学粗暴地标签化为一种赞美非理性野蛮力量的“唯酒神主义”。</w:t>
      </w:r>
    </w:p>
    <w:p>
      <w:pPr>
        <w:spacing w:before="0" w:after="0" w:line="360" w:lineRule="auto"/>
        <w:ind w:firstLine="480"/>
        <w:jc w:val="both"/>
      </w:pPr>
      <w:r>
        <w:rPr>
          <w:rFonts w:ascii="Times New Roman" w:hAnsi="Times New Roman" w:eastAsia="SimSun" w:cs="Times New Roman"/>
          <w:b w:val="0"/>
          <w:i w:val="0"/>
          <w:sz w:val="24"/>
        </w:rPr>
        <w:t>然而，这种静止机械的二元划分严重割裂了尼采美学体系的内在生命力。古希腊悲剧（以埃斯库罗斯与索福克勒斯为巅峰）之所以能够成为人类艺术史上的奇迹，绝非仅仅因为展现了酒神的狂暴破坏，更非因为日神的虚幻逃避，而在于这两大原本相互抗争的自然力量达成了一种高度精妙而惊心动魄的“形而上学综合”。本文旨在剖析日神与酒神之间的动态张力机制，揭示希腊悲剧如何在个体消亡的深渊之上构筑生命意志的永恒欢歌，进而阐明尼采如何通过审美正当性完成对生存苦难的至高肯定。</w:t>
      </w:r>
    </w:p>
    <w:p>
      <w:pPr>
        <w:spacing w:before="280" w:after="120" w:line="360" w:lineRule="auto"/>
        <w:ind w:firstLine="0"/>
        <w:jc w:val="left"/>
      </w:pPr>
      <w:r>
        <w:rPr>
          <w:rFonts w:ascii="Times New Roman" w:hAnsi="Times New Roman" w:eastAsia="SimHei" w:cs="Times New Roman"/>
          <w:b/>
          <w:i w:val="0"/>
          <w:sz w:val="28"/>
        </w:rPr>
        <w:t>二、 两种艺术冲动的发生机制：梦与醉的本体论张力</w:t>
      </w:r>
    </w:p>
    <w:p>
      <w:pPr>
        <w:spacing w:before="160" w:after="80" w:line="360" w:lineRule="auto"/>
        <w:ind w:firstLine="0"/>
        <w:jc w:val="left"/>
      </w:pPr>
      <w:r>
        <w:rPr>
          <w:rFonts w:ascii="Times New Roman" w:hAnsi="Times New Roman" w:eastAsia="SimHei" w:cs="Times New Roman"/>
          <w:b/>
          <w:i w:val="0"/>
          <w:sz w:val="24"/>
        </w:rPr>
        <w:t>（一） 日神阿波罗：个体化原理、梦幻假象与美丽外观</w:t>
      </w:r>
    </w:p>
    <w:p>
      <w:pPr>
        <w:spacing w:before="0" w:after="0" w:line="360" w:lineRule="auto"/>
        <w:ind w:firstLine="480"/>
        <w:jc w:val="both"/>
      </w:pPr>
      <w:r>
        <w:rPr>
          <w:rFonts w:ascii="Times New Roman" w:hAnsi="Times New Roman" w:eastAsia="SimSun" w:cs="Times New Roman"/>
          <w:b w:val="0"/>
          <w:i w:val="0"/>
          <w:sz w:val="24"/>
        </w:rPr>
        <w:t>尼采将日神阿波罗界定为“发光之神”与“造型艺术之神”，其心理学与本体论原型是人类的“梦境”（Traum）。日神艺术的核心法则，借用了叔本华的术语，即“个体化原理”（principium individuationis）。</w:t>
      </w:r>
    </w:p>
    <w:p>
      <w:pPr>
        <w:spacing w:before="0" w:after="0" w:line="360" w:lineRule="auto"/>
        <w:ind w:firstLine="480"/>
        <w:jc w:val="both"/>
      </w:pPr>
      <w:r>
        <w:rPr>
          <w:rFonts w:ascii="Times New Roman" w:hAnsi="Times New Roman" w:eastAsia="SimSun" w:cs="Times New Roman"/>
          <w:b w:val="0"/>
          <w:i w:val="0"/>
          <w:sz w:val="24"/>
        </w:rPr>
        <w:t>面对世界深处不可言说的无序混沌与残酷真实，日神冲动创造出了一个充满清晰轮廓、明朗色彩、和谐比例与完美尺度的“美丽外观”（schöner Schein）世界。希腊人通过奥林匹斯诸神那容光焕发的璀璨形象，为自身凡俗而痛苦的生存披上了一层神圣的梦幻面纱。在这个意义上，日神是度量、节制与自我界限的守护者，它让人类在狂风暴雨的苦海中能够安坐于一叶轻舟之上，凭借对表象形式的沉醉而得以保全脆弱的个体生命。</w:t>
      </w:r>
    </w:p>
    <w:p>
      <w:pPr>
        <w:spacing w:before="160" w:after="80" w:line="360" w:lineRule="auto"/>
        <w:ind w:firstLine="0"/>
        <w:jc w:val="left"/>
      </w:pPr>
      <w:r>
        <w:rPr>
          <w:rFonts w:ascii="Times New Roman" w:hAnsi="Times New Roman" w:eastAsia="SimHei" w:cs="Times New Roman"/>
          <w:b/>
          <w:i w:val="0"/>
          <w:sz w:val="24"/>
        </w:rPr>
        <w:t>（二） 酒神狄奥尼索斯：个体解体、原始同一与痛苦深渊</w:t>
      </w:r>
    </w:p>
    <w:p>
      <w:pPr>
        <w:spacing w:before="0" w:after="0" w:line="360" w:lineRule="auto"/>
        <w:ind w:firstLine="480"/>
        <w:jc w:val="both"/>
      </w:pPr>
      <w:r>
        <w:rPr>
          <w:rFonts w:ascii="Times New Roman" w:hAnsi="Times New Roman" w:eastAsia="SimSun" w:cs="Times New Roman"/>
          <w:b w:val="0"/>
          <w:i w:val="0"/>
          <w:sz w:val="24"/>
        </w:rPr>
        <w:t>与日神的清明梦幻截然相反，酒神狄奥尼索斯则是“非造型艺术”（尤其是音乐与舞蹈）的神祇，其体验原型是生命被不可遏制的激情所充斥的“狂醉”（Rausch）。</w:t>
      </w:r>
    </w:p>
    <w:p>
      <w:pPr>
        <w:spacing w:before="0" w:after="0" w:line="360" w:lineRule="auto"/>
        <w:ind w:firstLine="480"/>
        <w:jc w:val="both"/>
      </w:pPr>
      <w:r>
        <w:rPr>
          <w:rFonts w:ascii="Times New Roman" w:hAnsi="Times New Roman" w:eastAsia="SimSun" w:cs="Times New Roman"/>
          <w:b w:val="0"/>
          <w:i w:val="0"/>
          <w:sz w:val="24"/>
        </w:rPr>
        <w:t>在酒神狂欢的风暴中，个体化原理的坚固外壳被彻底击碎，人与人之间由社会制度建立的森严壁垒被夷为平地，人与大自然重归于那种未分化的“原始同一”（das Ur-Eine）。在这里，个体直面的是西勒诺斯（Silenus）式的残酷真相——“对人来说最好的事情是根本不要出生，其次是尽快去死”。酒神体验揭示了宇宙意志本体那无穷无尽的创生与毁灭并存的深渊（Ur-Schmerz），个体的存在在这一汪洋大海中不过是转瞬即逝的泡沫。</w:t>
      </w:r>
    </w:p>
    <w:p>
      <w:pPr>
        <w:spacing w:before="280" w:after="120" w:line="360" w:lineRule="auto"/>
        <w:ind w:firstLine="0"/>
        <w:jc w:val="left"/>
      </w:pPr>
      <w:r>
        <w:rPr>
          <w:rFonts w:ascii="Times New Roman" w:hAnsi="Times New Roman" w:eastAsia="SimHei" w:cs="Times New Roman"/>
          <w:b/>
          <w:i w:val="0"/>
          <w:sz w:val="28"/>
        </w:rPr>
        <w:t>三、 悲剧综合机制：日神与酒神的动态缠绕与生命肯定</w:t>
      </w:r>
    </w:p>
    <w:p>
      <w:pPr>
        <w:spacing w:before="160" w:after="80" w:line="360" w:lineRule="auto"/>
        <w:ind w:firstLine="0"/>
        <w:jc w:val="left"/>
      </w:pPr>
      <w:r>
        <w:rPr>
          <w:rFonts w:ascii="Times New Roman" w:hAnsi="Times New Roman" w:eastAsia="SimHei" w:cs="Times New Roman"/>
          <w:b/>
          <w:i w:val="0"/>
          <w:sz w:val="24"/>
        </w:rPr>
        <w:t>（一） “酒神借日神之语发言”：深渊体验的形式化转化</w:t>
      </w:r>
    </w:p>
    <w:p>
      <w:pPr>
        <w:spacing w:before="0" w:after="0" w:line="360" w:lineRule="auto"/>
        <w:ind w:firstLine="480"/>
        <w:jc w:val="both"/>
      </w:pPr>
      <w:r>
        <w:rPr>
          <w:rFonts w:ascii="Times New Roman" w:hAnsi="Times New Roman" w:eastAsia="SimSun" w:cs="Times New Roman"/>
          <w:b w:val="0"/>
          <w:i w:val="0"/>
          <w:sz w:val="24"/>
        </w:rPr>
        <w:t>倘若人类仅仅停留于日神的梦幻，艺术最终将沦为逃避现实苦难的浅薄粉饰与软弱自欺；而若人类完全沉沦于酒神的深渊，那毁灭性的原始真实将瞬间摧毁人类的心智与肉体，直接导向精神崩溃或毁灭。古希腊悲剧的伟大秘密，正在于建立了一种双向驯服与相互成全的共生机制。</w:t>
      </w:r>
    </w:p>
    <w:p>
      <w:pPr>
        <w:spacing w:before="0" w:after="0" w:line="360" w:lineRule="auto"/>
        <w:ind w:firstLine="480"/>
        <w:jc w:val="both"/>
      </w:pPr>
      <w:r>
        <w:rPr>
          <w:rFonts w:ascii="Times New Roman" w:hAnsi="Times New Roman" w:eastAsia="SimSun" w:cs="Times New Roman"/>
          <w:b w:val="0"/>
          <w:i w:val="0"/>
          <w:sz w:val="24"/>
        </w:rPr>
        <w:t>尼采以极富洞见的隐喻写道：“狄奥尼索斯借着阿波罗的语言发言，而阿波罗最终借着狄奥尼索斯的语言发言。”在古希腊悲剧结构中，歌队（Chorus）构成了汹涌澎湃的酒神母体，其音乐与歌唱不断将观众拖入宇宙意志的无分化激流；而舞台上的戏剧人物（如俄狄浦斯、普罗米修斯等悲剧英雄）及其对话与情节，则是日神投射出的明晰幻象与具体个案。</w:t>
      </w:r>
    </w:p>
    <w:p>
      <w:pPr>
        <w:spacing w:before="0" w:after="0" w:line="360" w:lineRule="auto"/>
        <w:ind w:firstLine="480"/>
        <w:jc w:val="both"/>
      </w:pPr>
      <w:r>
        <w:rPr>
          <w:rFonts w:ascii="Times New Roman" w:hAnsi="Times New Roman" w:eastAsia="SimSun" w:cs="Times New Roman"/>
          <w:b w:val="0"/>
          <w:i w:val="0"/>
          <w:sz w:val="24"/>
        </w:rPr>
        <w:t>日神为不可直视的酒神深渊穿上了可被感知的英雄外衣，使无序的痛苦转化为具有崇高尊严的审美形象；而酒神则为日神那原本空洞的外观注入了澎湃激荡的本体生命力，使形式获得了穿透灵魂的震撼深度。悲剧正是这两大冲动在此消彼长的搏杀中达成的最高神圣同盟。</w:t>
      </w:r>
    </w:p>
    <w:p>
      <w:pPr>
        <w:spacing w:before="160" w:after="80" w:line="360" w:lineRule="auto"/>
        <w:ind w:firstLine="0"/>
        <w:jc w:val="left"/>
      </w:pPr>
      <w:r>
        <w:rPr>
          <w:rFonts w:ascii="Times New Roman" w:hAnsi="Times New Roman" w:eastAsia="SimHei" w:cs="Times New Roman"/>
          <w:b/>
          <w:i w:val="0"/>
          <w:sz w:val="24"/>
        </w:rPr>
        <w:t>（二） 形而上学的慰藉：以审美正当性超越叔本华的悲观退隐</w:t>
      </w:r>
    </w:p>
    <w:p>
      <w:pPr>
        <w:spacing w:before="0" w:after="0" w:line="360" w:lineRule="auto"/>
        <w:ind w:firstLine="480"/>
        <w:jc w:val="both"/>
      </w:pPr>
      <w:r>
        <w:rPr>
          <w:rFonts w:ascii="Times New Roman" w:hAnsi="Times New Roman" w:eastAsia="SimSun" w:cs="Times New Roman"/>
          <w:b w:val="0"/>
          <w:i w:val="0"/>
          <w:sz w:val="24"/>
        </w:rPr>
        <w:t>日神与酒神在悲剧中的交融，最终导向了尼采美学最核心的命题——“形而上学的慰藉”（metaphysischer Trost）与生命肯定。在此，尼采实现了对其精神导师叔本华哲学的重大叛逆与飞跃。</w:t>
      </w:r>
    </w:p>
    <w:p>
      <w:pPr>
        <w:spacing w:before="0" w:after="0" w:line="360" w:lineRule="auto"/>
        <w:ind w:firstLine="480"/>
        <w:jc w:val="both"/>
      </w:pPr>
      <w:r>
        <w:rPr>
          <w:rFonts w:ascii="Times New Roman" w:hAnsi="Times New Roman" w:eastAsia="SimSun" w:cs="Times New Roman"/>
          <w:b w:val="0"/>
          <w:i w:val="0"/>
          <w:sz w:val="24"/>
        </w:rPr>
        <w:t>叔本华虽然深刻揭示了世界作为盲目意志的痛苦本质，但他开出的解脱药方却是消极的——通过认识到生存的虚妄而走向禁欲、断绝意志和无欲无求的虚无涅槃。尼采断然拒绝了这种否定生命的虚弱姿态。在尼采看来，悲剧英雄的毁灭（个体化原理的破碎）非但没有使观众陷入绝望，反而通过酒神的狂喜使我们体验到：在一切现象变迁与个体消逝的背后，生命意志本身是不可摧毁、永恒丰盛与无尽狂喜的。</w:t>
      </w:r>
    </w:p>
    <w:p>
      <w:pPr>
        <w:spacing w:before="0" w:after="0" w:line="360" w:lineRule="auto"/>
        <w:ind w:firstLine="480"/>
        <w:jc w:val="both"/>
      </w:pPr>
      <w:r>
        <w:rPr>
          <w:rFonts w:ascii="Times New Roman" w:hAnsi="Times New Roman" w:eastAsia="SimSun" w:cs="Times New Roman"/>
          <w:b w:val="0"/>
          <w:i w:val="0"/>
          <w:sz w:val="24"/>
        </w:rPr>
        <w:t>尼采由此铸就了其传世格言：“唯有作为审美现象，存在与世界才获得永久的正当性（Nur als ästhetisches Phänomen ist das Dasein und die Welt ewig gerechtfertigt）。”悲剧不是对苦难的麻木忍受，而是在直面最深重的苦难与死亡时，依然高声向生命呼喊“再来一次！”的最高生命肯定。</w:t>
      </w:r>
    </w:p>
    <w:p>
      <w:pPr>
        <w:spacing w:before="280" w:after="120" w:line="360" w:lineRule="auto"/>
        <w:ind w:firstLine="0"/>
        <w:jc w:val="left"/>
      </w:pPr>
      <w:r>
        <w:rPr>
          <w:rFonts w:ascii="Times New Roman" w:hAnsi="Times New Roman" w:eastAsia="SimHei" w:cs="Times New Roman"/>
          <w:b/>
          <w:i w:val="0"/>
          <w:sz w:val="28"/>
        </w:rPr>
        <w:t>四、 理论反思与可能误解：是对理性的彻底放逐与虚无沉沦吗？</w:t>
      </w:r>
    </w:p>
    <w:p>
      <w:pPr>
        <w:spacing w:before="160" w:after="80" w:line="360" w:lineRule="auto"/>
        <w:ind w:firstLine="0"/>
        <w:jc w:val="left"/>
      </w:pPr>
      <w:r>
        <w:rPr>
          <w:rFonts w:ascii="Times New Roman" w:hAnsi="Times New Roman" w:eastAsia="SimHei" w:cs="Times New Roman"/>
          <w:b/>
          <w:i w:val="0"/>
          <w:sz w:val="24"/>
        </w:rPr>
        <w:t>（一） 辨析“非理性狂欢”指责：悲剧不是野蛮放纵，而是艺术化升华</w:t>
      </w:r>
    </w:p>
    <w:p>
      <w:pPr>
        <w:spacing w:before="0" w:after="0" w:line="360" w:lineRule="auto"/>
        <w:ind w:firstLine="480"/>
        <w:jc w:val="both"/>
      </w:pPr>
      <w:r>
        <w:rPr>
          <w:rFonts w:ascii="Times New Roman" w:hAnsi="Times New Roman" w:eastAsia="SimSun" w:cs="Times New Roman"/>
          <w:b w:val="0"/>
          <w:i w:val="0"/>
          <w:sz w:val="24"/>
        </w:rPr>
        <w:t>长期以来，启蒙理性主义传统的批评家常指责尼采的悲剧理论是对文明法度的反叛，是对野蛮非理性本能的危险释放。然而，这种指责混淆了“未开化的蛮族狂欢”与“经过日神转化的希腊酒神节”。</w:t>
      </w:r>
    </w:p>
    <w:p>
      <w:pPr>
        <w:spacing w:before="0" w:after="0" w:line="360" w:lineRule="auto"/>
        <w:ind w:firstLine="480"/>
        <w:jc w:val="both"/>
      </w:pPr>
      <w:r>
        <w:rPr>
          <w:rFonts w:ascii="Times New Roman" w:hAnsi="Times New Roman" w:eastAsia="SimSun" w:cs="Times New Roman"/>
          <w:b w:val="0"/>
          <w:i w:val="0"/>
          <w:sz w:val="24"/>
        </w:rPr>
        <w:t>尼采在书中极其明确地对比了东方异教蛮族充斥着淫乱与残酷暴行的原始酒神节，与希腊城邦酒神节的根本区别。希腊人的独特天才，就在于他们拥有无比强大的日神造型力量，能够将那种具有毁灭性的自然狂暴力量，提炼、驯化并升华为庄严宏大的悲剧艺术。悲剧中的酒神冲动绝非放任本能的动物性堕落，而是将生命的本原能量引向精神的崇高超越。</w:t>
      </w:r>
    </w:p>
    <w:p>
      <w:pPr>
        <w:spacing w:before="160" w:after="80" w:line="360" w:lineRule="auto"/>
        <w:ind w:firstLine="0"/>
        <w:jc w:val="left"/>
      </w:pPr>
      <w:r>
        <w:rPr>
          <w:rFonts w:ascii="Times New Roman" w:hAnsi="Times New Roman" w:eastAsia="SimHei" w:cs="Times New Roman"/>
          <w:b/>
          <w:i w:val="0"/>
          <w:sz w:val="24"/>
        </w:rPr>
        <w:t>（二） 理论人与苏格拉底主义：对片面理性乐观主义的反思</w:t>
      </w:r>
    </w:p>
    <w:p>
      <w:pPr>
        <w:spacing w:before="0" w:after="0" w:line="360" w:lineRule="auto"/>
        <w:ind w:firstLine="480"/>
        <w:jc w:val="both"/>
      </w:pPr>
      <w:r>
        <w:rPr>
          <w:rFonts w:ascii="Times New Roman" w:hAnsi="Times New Roman" w:eastAsia="SimSun" w:cs="Times New Roman"/>
          <w:b w:val="0"/>
          <w:i w:val="0"/>
          <w:sz w:val="24"/>
        </w:rPr>
        <w:t>尼采在《悲剧的诞生》后半部分痛心疾首地分析了悲剧的衰亡，将其归咎于欧里庇得斯戏剧与“苏格拉底主义”（Socratism）的合谋。苏格拉底所开创的“理论人”（theoretical man）秉持一种狂妄的乐观主义信念——认为理性逻辑能够穷尽一切存在之谜，知识即美德，一切苦难皆可通过辩证推理得以消除。</w:t>
      </w:r>
    </w:p>
    <w:p>
      <w:pPr>
        <w:spacing w:before="0" w:after="0" w:line="360" w:lineRule="auto"/>
        <w:ind w:firstLine="480"/>
        <w:jc w:val="both"/>
      </w:pPr>
      <w:r>
        <w:rPr>
          <w:rFonts w:ascii="Times New Roman" w:hAnsi="Times New Roman" w:eastAsia="SimSun" w:cs="Times New Roman"/>
          <w:b w:val="0"/>
          <w:i w:val="0"/>
          <w:sz w:val="24"/>
        </w:rPr>
        <w:t>尼采对苏格拉底主义的批判，并非反智主义的无理取闹，而是极具先见之明地指出了片面技术理性与功利乐观主义必将遭遇其内在界限。当现代科技与理性主义将世界的诗意与神圣感彻底祛魅之后，人类必将无可避免地撞上理性边界处的生存荒谬与虚无主义峭壁。在这一时刻，唯有悲剧所孕育的“悲剧智慧”与艺术力量，才能挽救现代人免于精神虚脱。</w:t>
      </w:r>
    </w:p>
    <w:p>
      <w:pPr>
        <w:spacing w:before="280" w:after="120" w:line="360" w:lineRule="auto"/>
        <w:ind w:firstLine="0"/>
        <w:jc w:val="left"/>
      </w:pPr>
      <w:r>
        <w:rPr>
          <w:rFonts w:ascii="Times New Roman" w:hAnsi="Times New Roman" w:eastAsia="SimHei" w:cs="Times New Roman"/>
          <w:b/>
          <w:i w:val="0"/>
          <w:sz w:val="28"/>
        </w:rPr>
        <w:t>五、 结语：悲剧智慧与现代性困境中的生命重建</w:t>
      </w:r>
    </w:p>
    <w:p>
      <w:pPr>
        <w:spacing w:before="0" w:after="0" w:line="360" w:lineRule="auto"/>
        <w:ind w:firstLine="480"/>
        <w:jc w:val="both"/>
      </w:pPr>
      <w:r>
        <w:rPr>
          <w:rFonts w:ascii="Times New Roman" w:hAnsi="Times New Roman" w:eastAsia="SimSun" w:cs="Times New Roman"/>
          <w:b w:val="0"/>
          <w:i w:val="0"/>
          <w:sz w:val="24"/>
        </w:rPr>
        <w:t>综上所述，尼采在《悲剧的诞生》中所构建的日神与酒神学说，绝非简单的概念对峙，而是一场在存在深渊与形式美感之间展开的永恒辩证律动。日神赋予世界以清明的形式与个体尊严，酒神赋予世界以深邃的激情与永恒意志，二者在悲剧中的交响，共同铸就了人类抗击生存荒谬、肯定苦难生命的最高美学机制。</w:t>
      </w:r>
    </w:p>
    <w:p>
      <w:pPr>
        <w:spacing w:before="0" w:after="0" w:line="360" w:lineRule="auto"/>
        <w:ind w:firstLine="480"/>
        <w:jc w:val="both"/>
      </w:pPr>
      <w:r>
        <w:rPr>
          <w:rFonts w:ascii="Times New Roman" w:hAnsi="Times New Roman" w:eastAsia="SimSun" w:cs="Times New Roman"/>
          <w:b w:val="0"/>
          <w:i w:val="0"/>
          <w:sz w:val="24"/>
        </w:rPr>
        <w:t>在现代性危机日益深化的今天，人类一方面面临着消费主义日神假象的空洞麻木，另一方面又时刻承受着存在主义酒神虚无的焦虑侵蚀。尼采的悲剧美学如同一记警钟，启示我们既不能遁入虚幻的乐观主义泡沫，也不能屈服于绝望的虚无主义泥潭，而应当在日神与酒神的张力之间，以勇毅的审美姿态直面真实的苦难，在对生命的创造性塑形中重新夺回存在的尊严与意义。</w:t>
      </w:r>
    </w:p>
    <w:p>
      <w:pPr>
        <w:spacing w:before="320" w:after="120" w:line="360" w:lineRule="auto"/>
        <w:ind w:firstLine="0"/>
        <w:jc w:val="left"/>
      </w:pPr>
      <w:r>
        <w:rPr>
          <w:rFonts w:ascii="Times New Roman" w:hAnsi="Times New Roman" w:eastAsia="SimHei" w:cs="Times New Roman"/>
          <w:b/>
          <w:i w:val="0"/>
          <w:sz w:val="26"/>
        </w:rPr>
        <w:t>参考文献</w:t>
      </w:r>
    </w:p>
    <w:p>
      <w:pPr>
        <w:spacing w:before="40" w:after="40" w:line="312" w:lineRule="auto"/>
        <w:ind w:left="420" w:hanging="420"/>
        <w:jc w:val="both"/>
      </w:pPr>
      <w:r>
        <w:rPr>
          <w:rFonts w:ascii="Times New Roman" w:hAnsi="Times New Roman" w:eastAsia="SimSun" w:cs="Times New Roman"/>
          <w:b w:val="0"/>
          <w:i w:val="0"/>
          <w:sz w:val="21"/>
        </w:rPr>
        <w:t>[1] 尼采. 悲剧的诞生[M]. 孙周兴, 译. 北京: 商务印书馆, 2012.</w:t>
      </w:r>
    </w:p>
    <w:p>
      <w:pPr>
        <w:spacing w:before="40" w:after="40" w:line="312" w:lineRule="auto"/>
        <w:ind w:left="420" w:hanging="420"/>
        <w:jc w:val="both"/>
      </w:pPr>
      <w:r>
        <w:rPr>
          <w:rFonts w:ascii="Times New Roman" w:hAnsi="Times New Roman" w:eastAsia="SimSun" w:cs="Times New Roman"/>
          <w:b w:val="0"/>
          <w:i w:val="0"/>
          <w:sz w:val="21"/>
        </w:rPr>
        <w:t>[2] 尼采. 权力意志: 重估一切价值的尝试[M]. 孙周兴, 译. 北京: 商务印书馆, 2007.</w:t>
      </w:r>
    </w:p>
    <w:p>
      <w:pPr>
        <w:spacing w:before="40" w:after="40" w:line="312" w:lineRule="auto"/>
        <w:ind w:left="420" w:hanging="420"/>
        <w:jc w:val="both"/>
      </w:pPr>
      <w:r>
        <w:rPr>
          <w:rFonts w:ascii="Times New Roman" w:hAnsi="Times New Roman" w:eastAsia="SimSun" w:cs="Times New Roman"/>
          <w:b w:val="0"/>
          <w:i w:val="0"/>
          <w:sz w:val="21"/>
        </w:rPr>
        <w:t>[3] 叔本华. 作为意志和表象的世界[M]. 石冲白, 译. 北京: 商务印书馆, 1982.</w:t>
      </w:r>
    </w:p>
    <w:p>
      <w:pPr>
        <w:spacing w:before="40" w:after="40" w:line="312" w:lineRule="auto"/>
        <w:ind w:left="420" w:hanging="420"/>
        <w:jc w:val="both"/>
      </w:pPr>
      <w:r>
        <w:rPr>
          <w:rFonts w:ascii="Times New Roman" w:hAnsi="Times New Roman" w:eastAsia="SimSun" w:cs="Times New Roman"/>
          <w:b w:val="0"/>
          <w:i w:val="0"/>
          <w:sz w:val="21"/>
        </w:rPr>
        <w:t>[4] 瓦尔特·考夫曼. 尼采: 哲学家、心理学家、反基督徒[M]. 钱春绮, 译. 北京: 人民出版社, 2014.</w:t>
      </w:r>
    </w:p>
    <w:p>
      <w:pPr>
        <w:spacing w:before="40" w:after="40" w:line="312" w:lineRule="auto"/>
        <w:ind w:left="420" w:hanging="420"/>
        <w:jc w:val="both"/>
      </w:pPr>
      <w:r>
        <w:rPr>
          <w:rFonts w:ascii="Times New Roman" w:hAnsi="Times New Roman" w:eastAsia="SimSun" w:cs="Times New Roman"/>
          <w:b w:val="0"/>
          <w:i w:val="0"/>
          <w:sz w:val="21"/>
        </w:rPr>
        <w:t>[5] M. S. 希尔克, J. P. 斯特恩. 尼采论悲剧[M]. 曹俊峰, 译. 北京: 中国人民大学出版社, 2010.</w:t>
      </w:r>
    </w:p>
    <w:p>
      <w:pPr>
        <w:spacing w:before="40" w:after="40" w:line="312" w:lineRule="auto"/>
        <w:ind w:left="420" w:hanging="420"/>
        <w:jc w:val="both"/>
      </w:pPr>
      <w:r>
        <w:rPr>
          <w:rFonts w:ascii="Times New Roman" w:hAnsi="Times New Roman" w:eastAsia="SimSun" w:cs="Times New Roman"/>
          <w:b w:val="0"/>
          <w:i w:val="0"/>
          <w:sz w:val="21"/>
        </w:rPr>
        <w:t>[6] 朱利安·扬. 尼采的哲学导论[M]. 舒远招, 译. 北京: 北京大学出版社, 2016.</w:t>
      </w:r>
    </w:p>
    <w:sectPr w:rsidR="00FC693F" w:rsidRPr="0006063C" w:rsidSect="00034616">
      <w:footerReference w:type="default" r:id="rId9"/>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b w:val="0"/>
        <w:i w:val="0"/>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