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240" w:line="312" w:lineRule="auto"/>
        <w:jc w:val="center"/>
      </w:pPr>
      <w:r>
        <w:rPr>
          <w:rFonts w:ascii="Times New Roman" w:hAnsi="Times New Roman" w:eastAsia="SimHei" w:cs="Times New Roman"/>
          <w:b/>
          <w:i w:val="0"/>
          <w:sz w:val="36"/>
        </w:rPr>
        <w:t>模仿、真理与城邦秩序——论柏拉图放逐诗人的美学逻辑</w:t>
      </w:r>
    </w:p>
    <w:p>
      <w:pPr>
        <w:spacing w:before="0" w:after="280" w:line="360" w:lineRule="auto"/>
        <w:jc w:val="center"/>
      </w:pPr>
      <w:r>
        <w:rPr>
          <w:rFonts w:ascii="Times New Roman" w:hAnsi="Times New Roman" w:eastAsia="SimSun" w:cs="Times New Roman"/>
          <w:b w:val="0"/>
          <w:i w:val="0"/>
          <w:sz w:val="21"/>
        </w:rPr>
        <w:t>课程名称：____________________    学生姓名：____________________</w:t>
        <w:br/>
        <w:t>学生学号：____________________    所属院系：____________________</w:t>
        <w:br/>
        <w:t>指导教师：____________________    提交日期：2026 年 ___ 月 ___ 日</w:t>
      </w:r>
    </w:p>
    <w:p>
      <w:pPr>
        <w:spacing w:before="120" w:after="80" w:line="336" w:lineRule="auto"/>
        <w:ind w:firstLine="420"/>
        <w:jc w:val="both"/>
      </w:pPr>
      <w:r>
        <w:rPr>
          <w:rFonts w:ascii="Times New Roman" w:hAnsi="Times New Roman" w:eastAsia="SimHei" w:cs="Times New Roman"/>
          <w:b/>
          <w:i w:val="0"/>
          <w:sz w:val="21"/>
        </w:rPr>
        <w:t>【摘  要】</w:t>
      </w:r>
      <w:r>
        <w:rPr>
          <w:rFonts w:ascii="Times New Roman" w:hAnsi="Times New Roman" w:eastAsia="KaiTi" w:cs="Times New Roman"/>
          <w:b w:val="0"/>
          <w:i w:val="0"/>
          <w:sz w:val="21"/>
        </w:rPr>
        <w:t>柏拉图在《理想国》第十卷中关于“将诗人逐出城邦”的论断，常被近代美学史叙事误读为一种专断的反艺术偏见或狭隘的道德功利主义。然而，重返古希腊城邦的政治语境与柏拉图的哲学整体可知，“放逐诗人”实则是其认识论本体论与政治正义学说深层交织的必然结论。本文从“模仿”（mimesis）的认识论批判入手，阐明诗歌与造型艺术因“模仿感性现象而非本质理念”而处于“距真理第三等”的附庸地位，进而揭示这种对真理的遮蔽如何导致对城邦公民教化（Paideia）的根本瓦解。在政治与心灵秩序维度，悲剧与史诗诉诸狂乱的感性与低级情感，破坏了以理性（logos）统摄激气与欲望的灵魂秩序，进而动摇了城邦各司其职的等级正义基石。在此基础上，本文对“柏拉图完全否定艺术”的流行观点进行学术辨析：柏拉图并非盲目敌视艺术，而是拒绝脱离真理与善（Agathon）规训的自主性虚妄；其自身对话录的丰富诗意更昭示了哲学对诗歌的批判性升华。柏拉图的美学批判最终促使我们反思艺术自主性与公共伦理、认知求真之间的内在张力。</w:t>
      </w:r>
    </w:p>
    <w:p>
      <w:pPr>
        <w:spacing w:before="40" w:after="280" w:line="336" w:lineRule="auto"/>
        <w:ind w:firstLine="420"/>
        <w:jc w:val="both"/>
      </w:pPr>
      <w:r>
        <w:rPr>
          <w:rFonts w:ascii="Times New Roman" w:hAnsi="Times New Roman" w:eastAsia="SimHei" w:cs="Times New Roman"/>
          <w:b/>
          <w:i w:val="0"/>
          <w:sz w:val="21"/>
        </w:rPr>
        <w:t>【关键词】</w:t>
      </w:r>
      <w:r>
        <w:rPr>
          <w:rFonts w:ascii="Times New Roman" w:hAnsi="Times New Roman" w:eastAsia="KaiTi" w:cs="Times New Roman"/>
          <w:b w:val="0"/>
          <w:i w:val="0"/>
          <w:sz w:val="21"/>
        </w:rPr>
        <w:t>柏拉图；模仿论；放逐诗人；城邦秩序；灵魂正义；诗性教化</w:t>
      </w:r>
    </w:p>
    <w:p>
      <w:pPr>
        <w:spacing w:before="280" w:after="120" w:line="360" w:lineRule="auto"/>
        <w:ind w:firstLine="0"/>
        <w:jc w:val="left"/>
      </w:pPr>
      <w:r>
        <w:rPr>
          <w:rFonts w:ascii="Times New Roman" w:hAnsi="Times New Roman" w:eastAsia="SimHei" w:cs="Times New Roman"/>
          <w:b/>
          <w:i w:val="0"/>
          <w:sz w:val="28"/>
        </w:rPr>
        <w:t>一、 问题提出：诗与哲学的古老争端及其历史误读</w:t>
      </w:r>
    </w:p>
    <w:p>
      <w:pPr>
        <w:spacing w:before="0" w:after="0" w:line="360" w:lineRule="auto"/>
        <w:ind w:firstLine="480"/>
        <w:jc w:val="both"/>
      </w:pPr>
      <w:r>
        <w:rPr>
          <w:rFonts w:ascii="Times New Roman" w:hAnsi="Times New Roman" w:eastAsia="SimSun" w:cs="Times New Roman"/>
          <w:b w:val="0"/>
          <w:i w:val="0"/>
          <w:sz w:val="24"/>
        </w:rPr>
        <w:t>在西方文艺理论的演进谱系中，柏拉图在《理想国》（Republic）第十卷中所作出的“将模仿诗人放逐出理想城邦”的决断，始终是一桩极具争议且屡遭误读的公案。自近代启蒙运动与浪漫主义美学确立“艺术自律”和“天才创造”的至高地位以来，不少批评家倾向于将柏拉图塑造成一个扼杀艺术灵性、推行文化管制的“反艺术哲学家”。在这些解读中，柏拉图对荷马史诗与悲剧诗人的严苛拒斥，往往被简化为一种粗暴的政治功利主义审查。</w:t>
      </w:r>
    </w:p>
    <w:p>
      <w:pPr>
        <w:spacing w:before="0" w:after="0" w:line="360" w:lineRule="auto"/>
        <w:ind w:firstLine="480"/>
        <w:jc w:val="both"/>
      </w:pPr>
      <w:r>
        <w:rPr>
          <w:rFonts w:ascii="Times New Roman" w:hAnsi="Times New Roman" w:eastAsia="SimSun" w:cs="Times New Roman"/>
          <w:b w:val="0"/>
          <w:i w:val="0"/>
          <w:sz w:val="24"/>
        </w:rPr>
        <w:t>然而，这种现代视角的裁断在很大程度上脱离了古希腊城邦文明的特定历史语境。正如柏拉图在对话中所坦言，“诗与哲学之间的争端已历时久远”。在苏格拉底与柏拉图所处的时代，荷马与悲剧诗人并非现代意义上仅供私人消遣的纯审美创作者，而是整个希腊世界的“全能导师”与传统教化（Paideia）的垄断者。古希腊人依靠史诗学习神话、历史、军事策略、道德操守乃至城邦制度。因此，柏拉图对诗人的放逐，绝非一场孤立的审美偏好之争，而是一场旨在争夺城邦教化领导权、重塑公民心灵秩序并奠定哲学真理根基的根本性思想战役。</w:t>
      </w:r>
    </w:p>
    <w:p>
      <w:pPr>
        <w:spacing w:before="280" w:after="120" w:line="360" w:lineRule="auto"/>
        <w:ind w:firstLine="0"/>
        <w:jc w:val="left"/>
      </w:pPr>
      <w:r>
        <w:rPr>
          <w:rFonts w:ascii="Times New Roman" w:hAnsi="Times New Roman" w:eastAsia="SimHei" w:cs="Times New Roman"/>
          <w:b/>
          <w:i w:val="0"/>
          <w:sz w:val="28"/>
        </w:rPr>
        <w:t>二、 认识论维度的诗学解构：“模仿”对真理的三重远离</w:t>
      </w:r>
    </w:p>
    <w:p>
      <w:pPr>
        <w:spacing w:before="160" w:after="80" w:line="360" w:lineRule="auto"/>
        <w:ind w:firstLine="0"/>
        <w:jc w:val="left"/>
      </w:pPr>
      <w:r>
        <w:rPr>
          <w:rFonts w:ascii="Times New Roman" w:hAnsi="Times New Roman" w:eastAsia="SimHei" w:cs="Times New Roman"/>
          <w:b/>
          <w:i w:val="0"/>
          <w:sz w:val="24"/>
        </w:rPr>
        <w:t>（一） 理念、器物与造影：艺术对幻象的二手摹仿</w:t>
      </w:r>
    </w:p>
    <w:p>
      <w:pPr>
        <w:spacing w:before="0" w:after="0" w:line="360" w:lineRule="auto"/>
        <w:ind w:firstLine="480"/>
        <w:jc w:val="both"/>
      </w:pPr>
      <w:r>
        <w:rPr>
          <w:rFonts w:ascii="Times New Roman" w:hAnsi="Times New Roman" w:eastAsia="SimSun" w:cs="Times New Roman"/>
          <w:b w:val="0"/>
          <w:i w:val="0"/>
          <w:sz w:val="24"/>
        </w:rPr>
        <w:t>柏拉图对诗人和艺术家的第一重致命批判，建立在其“理念论”（Theory of Forms）认识论基础之上。在《理想国》第十卷中，苏格拉底提出了著名的“三张床”隐喻以澄清存在的等级秩序：第一张是神所创造的“床的理念”（Idea/Form），它是独一无二、永恒不变且唯一真实的本体；第二张是木匠依照床的理念制造的具体可感的床，它是对理念的分有与摹仿，属于可变生灭的经验现象；第三张则是画家画出的床或诗人在语言中所描摹的床。</w:t>
      </w:r>
    </w:p>
    <w:p>
      <w:pPr>
        <w:spacing w:before="0" w:after="0" w:line="360" w:lineRule="auto"/>
        <w:ind w:firstLine="480"/>
        <w:jc w:val="both"/>
      </w:pPr>
      <w:r>
        <w:rPr>
          <w:rFonts w:ascii="Times New Roman" w:hAnsi="Times New Roman" w:eastAsia="SimSun" w:cs="Times New Roman"/>
          <w:b w:val="0"/>
          <w:i w:val="0"/>
          <w:sz w:val="24"/>
        </w:rPr>
        <w:t>柏拉图尖锐地指出，画家和模仿诗人所摹仿的，绝非永恒真实的“床的理念本身”，甚至也不是木匠制造的床的物理构造实质，而仅仅是木匠的床在特定角度下呈现出来的“外观”（Phantasma）与视觉假象。换言之，艺术家的模仿活动是对“现象的摹仿”，是“影子的影子”。由此，柏拉图确立了著名的级序推论：艺术品在存在论和认识论的等级上，处于“距离真理隔着三层”（Third remove from the truth）的附庸地位。</w:t>
      </w:r>
    </w:p>
    <w:p>
      <w:pPr>
        <w:spacing w:before="160" w:after="80" w:line="360" w:lineRule="auto"/>
        <w:ind w:firstLine="0"/>
        <w:jc w:val="left"/>
      </w:pPr>
      <w:r>
        <w:rPr>
          <w:rFonts w:ascii="Times New Roman" w:hAnsi="Times New Roman" w:eastAsia="SimHei" w:cs="Times New Roman"/>
          <w:b/>
          <w:i w:val="0"/>
          <w:sz w:val="24"/>
        </w:rPr>
        <w:t>（二） 无知却冒充全知：模仿者的认识论僭越</w:t>
      </w:r>
    </w:p>
    <w:p>
      <w:pPr>
        <w:spacing w:before="0" w:after="0" w:line="360" w:lineRule="auto"/>
        <w:ind w:firstLine="480"/>
        <w:jc w:val="both"/>
      </w:pPr>
      <w:r>
        <w:rPr>
          <w:rFonts w:ascii="Times New Roman" w:hAnsi="Times New Roman" w:eastAsia="SimSun" w:cs="Times New Roman"/>
          <w:b w:val="0"/>
          <w:i w:val="0"/>
          <w:sz w:val="24"/>
        </w:rPr>
        <w:t>建立在对假象摹仿之上的艺术创作，必然暴露出诗人在知识论上的贫困。柏拉图分析指出，对于同一件事物（例如一幅马勒或缰绳），存在着三种不同的技艺：使用者的技艺、制造者的技艺和模仿者的技艺。骑马者因其实际使用而拥有关于缰绳好坏的“真实知识”（Episteme）；工匠因听取骑马者的意见而拥有“正确意见”（Orthos doxa）；唯独画家或诗人，既无实际使用的真知，也无制造的正确意见，却仅仅凭借色彩、修辞与音调，就能惟妙惟肖地描绘缰绳乃至统帅作战的宏大场面。</w:t>
      </w:r>
    </w:p>
    <w:p>
      <w:pPr>
        <w:spacing w:before="0" w:after="0" w:line="360" w:lineRule="auto"/>
        <w:ind w:firstLine="480"/>
        <w:jc w:val="both"/>
      </w:pPr>
      <w:r>
        <w:rPr>
          <w:rFonts w:ascii="Times New Roman" w:hAnsi="Times New Roman" w:eastAsia="SimSun" w:cs="Times New Roman"/>
          <w:b w:val="0"/>
          <w:i w:val="0"/>
          <w:sz w:val="24"/>
        </w:rPr>
        <w:t>诗人的危险性恰恰在于这种“以无知冒充全知”的幻术欺骗。在《伊安篇》中，柏拉图借苏格拉底之口揭示出，诵诗人并非凭借真正的理智知识进行创作，而是处于一种神灵附体式的“迷狂”状态。由于缺乏理性反思的明澈光芒，诗人创造的迷人幻象使沉溺其中的听众误将假象当成真理本身。这种在认知层面上颠倒本末、以幻象蔽障本真的机制，构成了柏拉图从哲学高度放逐诗人的认识论基石。</w:t>
      </w:r>
    </w:p>
    <w:p>
      <w:pPr>
        <w:spacing w:before="280" w:after="120" w:line="360" w:lineRule="auto"/>
        <w:ind w:firstLine="0"/>
        <w:jc w:val="left"/>
      </w:pPr>
      <w:r>
        <w:rPr>
          <w:rFonts w:ascii="Times New Roman" w:hAnsi="Times New Roman" w:eastAsia="SimHei" w:cs="Times New Roman"/>
          <w:b/>
          <w:i w:val="0"/>
          <w:sz w:val="28"/>
        </w:rPr>
        <w:t>三、 政治与灵魂秩序层面的城邦危机：诗性教化的解构效应</w:t>
      </w:r>
    </w:p>
    <w:p>
      <w:pPr>
        <w:spacing w:before="160" w:after="80" w:line="360" w:lineRule="auto"/>
        <w:ind w:firstLine="0"/>
        <w:jc w:val="left"/>
      </w:pPr>
      <w:r>
        <w:rPr>
          <w:rFonts w:ascii="Times New Roman" w:hAnsi="Times New Roman" w:eastAsia="SimHei" w:cs="Times New Roman"/>
          <w:b/>
          <w:i w:val="0"/>
          <w:sz w:val="24"/>
        </w:rPr>
        <w:t>（一） 灵魂三分与非理性激情的放纵</w:t>
      </w:r>
    </w:p>
    <w:p>
      <w:pPr>
        <w:spacing w:before="0" w:after="0" w:line="360" w:lineRule="auto"/>
        <w:ind w:firstLine="480"/>
        <w:jc w:val="both"/>
      </w:pPr>
      <w:r>
        <w:rPr>
          <w:rFonts w:ascii="Times New Roman" w:hAnsi="Times New Roman" w:eastAsia="SimSun" w:cs="Times New Roman"/>
          <w:b w:val="0"/>
          <w:i w:val="0"/>
          <w:sz w:val="24"/>
        </w:rPr>
        <w:t>如果说认识论上的“远离真理”尚主要停留于理论思辨层面，那么诗歌对城邦公民心灵秩序的腐蚀，则直接触发了柏拉图在现实政治与伦理上的深重危机感。柏拉图在《理想国》第四卷中提出了经典的“灵魂三分说”，将人的心灵结构剖析为三个具有等级秩序的部分：居于最高统治地位的“理性”（Logistikon）、辅佐理性的“激情/激气”（Thumoeides），以及最底层且最难节制的“欲望”（Epithumetikon）。灵魂的正义与健康，就在于理性以智慧统御激气，共同节制并约束欲望的肆意泛滥。</w:t>
      </w:r>
    </w:p>
    <w:p>
      <w:pPr>
        <w:spacing w:before="0" w:after="0" w:line="360" w:lineRule="auto"/>
        <w:ind w:firstLine="480"/>
        <w:jc w:val="both"/>
      </w:pPr>
      <w:r>
        <w:rPr>
          <w:rFonts w:ascii="Times New Roman" w:hAnsi="Times New Roman" w:eastAsia="SimSun" w:cs="Times New Roman"/>
          <w:b w:val="0"/>
          <w:i w:val="0"/>
          <w:sz w:val="24"/>
        </w:rPr>
        <w:t>然而，以荷马史诗和雅典悲剧为代表的模仿诗歌，其运作机制恰恰是绕过甚至瓦解理性的统治权。悲剧之所以能引发剧场观众的狂热共鸣，正是因为它极力煽动并渲染那些在现实生活中应当被理性克制的低级情感——过度的哀恸、撕心裂肺的哭诉、无法抑制的愤怒与贪婪。在柏拉图看来，诗人在作品中极力讨好和喂养的，正是灵魂中那个软弱、非理性且易冲动的卑微部分。当公民在剧场中为舞台上英雄的自怨自艾与神明的不义行径流泪喝彩时，其原本健康的理性防线便被击溃，灵魂内部的权力秩序由此发生颠覆，最终演变为欲望与非理性情感反客为主的心灵暴政。</w:t>
      </w:r>
    </w:p>
    <w:p>
      <w:pPr>
        <w:spacing w:before="160" w:after="80" w:line="360" w:lineRule="auto"/>
        <w:ind w:firstLine="0"/>
        <w:jc w:val="left"/>
      </w:pPr>
      <w:r>
        <w:rPr>
          <w:rFonts w:ascii="Times New Roman" w:hAnsi="Times New Roman" w:eastAsia="SimHei" w:cs="Times New Roman"/>
          <w:b/>
          <w:i w:val="0"/>
          <w:sz w:val="24"/>
        </w:rPr>
        <w:t>（二） 城邦正义的动摇：情感狂欢对理性秩序的颠覆</w:t>
      </w:r>
    </w:p>
    <w:p>
      <w:pPr>
        <w:spacing w:before="0" w:after="0" w:line="360" w:lineRule="auto"/>
        <w:ind w:firstLine="480"/>
        <w:jc w:val="both"/>
      </w:pPr>
      <w:r>
        <w:rPr>
          <w:rFonts w:ascii="Times New Roman" w:hAnsi="Times New Roman" w:eastAsia="SimSun" w:cs="Times New Roman"/>
          <w:b w:val="0"/>
          <w:i w:val="0"/>
          <w:sz w:val="24"/>
        </w:rPr>
        <w:t>在柏拉图的政治哲学构想中，“城邦是大写的人，人是缩小的城邦”。个体的灵魂秩序与城邦的政制结构具有严格的同构映射关系。城邦的正义定义为：统治者（哲学王）、卫国者（军人）与生产者（平民）各安其位、各司其职，并在理性的智慧引领下实现城邦整体的和睦与统一。</w:t>
      </w:r>
    </w:p>
    <w:p>
      <w:pPr>
        <w:spacing w:before="0" w:after="0" w:line="360" w:lineRule="auto"/>
        <w:ind w:firstLine="480"/>
        <w:jc w:val="both"/>
      </w:pPr>
      <w:r>
        <w:rPr>
          <w:rFonts w:ascii="Times New Roman" w:hAnsi="Times New Roman" w:eastAsia="SimSun" w:cs="Times New Roman"/>
          <w:b w:val="0"/>
          <w:i w:val="0"/>
          <w:sz w:val="24"/>
        </w:rPr>
        <w:t>一旦诗歌引发的情感狂潮在城邦中蔓延开来，卫国者阶层本应保有的勇敢与坚毅就会被悲剧性的哀伤与恐惧所软化；统治者所必需的冷峻理性判断就会被情绪化的民粹狂热所绑架。更严重的是，传统诗歌常常描绘诸神之间的争斗、背叛与谎言，这直接摧毁了城邦年轻一代对神圣秩序与正义法则的崇敬之心。柏拉图敏锐地洞察到，当城邦公民沉溺于感性表象与非理性放纵之中时，建立在理性法度之上的正义城邦便不可能真正稳固。为了维系城邦的存续与灵魂的救赎，必须断然斩断这种持续输出毒素的诗性教化链条。</w:t>
      </w:r>
    </w:p>
    <w:p>
      <w:pPr>
        <w:spacing w:before="280" w:after="120" w:line="360" w:lineRule="auto"/>
        <w:ind w:firstLine="0"/>
        <w:jc w:val="left"/>
      </w:pPr>
      <w:r>
        <w:rPr>
          <w:rFonts w:ascii="Times New Roman" w:hAnsi="Times New Roman" w:eastAsia="SimHei" w:cs="Times New Roman"/>
          <w:b/>
          <w:i w:val="0"/>
          <w:sz w:val="28"/>
        </w:rPr>
        <w:t>四、 辩护与反思：柏拉图是对艺术的彻底扼杀吗？</w:t>
      </w:r>
    </w:p>
    <w:p>
      <w:pPr>
        <w:spacing w:before="160" w:after="80" w:line="360" w:lineRule="auto"/>
        <w:ind w:firstLine="0"/>
        <w:jc w:val="left"/>
      </w:pPr>
      <w:r>
        <w:rPr>
          <w:rFonts w:ascii="Times New Roman" w:hAnsi="Times New Roman" w:eastAsia="SimHei" w:cs="Times New Roman"/>
          <w:b/>
          <w:i w:val="0"/>
          <w:sz w:val="24"/>
        </w:rPr>
        <w:t>（一） 颂神与颂善：受真理与善审视的合法艺术空间</w:t>
      </w:r>
    </w:p>
    <w:p>
      <w:pPr>
        <w:spacing w:before="0" w:after="0" w:line="360" w:lineRule="auto"/>
        <w:ind w:firstLine="480"/>
        <w:jc w:val="both"/>
      </w:pPr>
      <w:r>
        <w:rPr>
          <w:rFonts w:ascii="Times New Roman" w:hAnsi="Times New Roman" w:eastAsia="SimSun" w:cs="Times New Roman"/>
          <w:b w:val="0"/>
          <w:i w:val="0"/>
          <w:sz w:val="24"/>
        </w:rPr>
        <w:t>针对后世关于柏拉图“全盘否定艺术”的指责，必须通过重审文本细节予以纠偏。细读《理想国》第十卷末尾可以发现，柏拉图在下达放逐令的同时，留下了极其关键的理论保留与豁免条件。苏格拉底明确指出：“在我们的城邦里，除了歌颂神明的赞美诗和赞扬善人的颂歌之外，不准接受任何诗歌进入。”</w:t>
      </w:r>
    </w:p>
    <w:p>
      <w:pPr>
        <w:spacing w:before="0" w:after="0" w:line="360" w:lineRule="auto"/>
        <w:ind w:firstLine="480"/>
        <w:jc w:val="both"/>
      </w:pPr>
      <w:r>
        <w:rPr>
          <w:rFonts w:ascii="Times New Roman" w:hAnsi="Times New Roman" w:eastAsia="SimSun" w:cs="Times New Roman"/>
          <w:b w:val="0"/>
          <w:i w:val="0"/>
          <w:sz w:val="24"/>
        </w:rPr>
        <w:t>这一例外条款表明，柏拉图所坚决驱逐的，绝非广义上的艺术表现形式本身，而是那种脱离了真理规训、拒绝承担道德教化责任、以感官刺激为唯一目的的“无节制的模仿艺术”。只要艺术能够将其形式力量锚定在“善的理念”（Agathon）之上，服务于公民灵魂的美德塑造与城邦正义秩序的维系，柏拉图不仅不排斥它，反而将其视为早期公民教育中陶冶性情、培育节奏感与和谐感的不可替代的媒介。</w:t>
      </w:r>
    </w:p>
    <w:p>
      <w:pPr>
        <w:spacing w:before="160" w:after="80" w:line="360" w:lineRule="auto"/>
        <w:ind w:firstLine="0"/>
        <w:jc w:val="left"/>
      </w:pPr>
      <w:r>
        <w:rPr>
          <w:rFonts w:ascii="Times New Roman" w:hAnsi="Times New Roman" w:eastAsia="SimHei" w:cs="Times New Roman"/>
          <w:b/>
          <w:i w:val="0"/>
          <w:sz w:val="24"/>
        </w:rPr>
        <w:t>（二） 哲学对话录自身的诗性救赎与哲学升华</w:t>
      </w:r>
    </w:p>
    <w:p>
      <w:pPr>
        <w:spacing w:before="0" w:after="0" w:line="360" w:lineRule="auto"/>
        <w:ind w:firstLine="480"/>
        <w:jc w:val="both"/>
      </w:pPr>
      <w:r>
        <w:rPr>
          <w:rFonts w:ascii="Times New Roman" w:hAnsi="Times New Roman" w:eastAsia="SimSun" w:cs="Times New Roman"/>
          <w:b w:val="0"/>
          <w:i w:val="0"/>
          <w:sz w:val="24"/>
        </w:rPr>
        <w:t>更有说服力的反驳来自于柏拉图自身的哲学写作实践。作为西方哲学史上的文学大师，柏拉图自己的对话录本身就是极高水准的戏剧性与诗性杰作。无论是在《会饮篇》中关于爱的神话叙事，在《斐多篇》中苏格拉底从容赴死的崇高悲剧感，还是在《理想国》中震撼人心的“洞穴隐喻”与“厄尔神话”，柏拉图都大量调动了象征、隐喻、神话与戏剧性对话等丰富的文学技巧。</w:t>
      </w:r>
    </w:p>
    <w:p>
      <w:pPr>
        <w:spacing w:before="0" w:after="0" w:line="360" w:lineRule="auto"/>
        <w:ind w:firstLine="480"/>
        <w:jc w:val="both"/>
      </w:pPr>
      <w:r>
        <w:rPr>
          <w:rFonts w:ascii="Times New Roman" w:hAnsi="Times New Roman" w:eastAsia="SimSun" w:cs="Times New Roman"/>
          <w:b w:val="0"/>
          <w:i w:val="0"/>
          <w:sz w:val="24"/>
        </w:rPr>
        <w:t>这种现象恰恰展现了一种深刻的辩证救赎：柏拉图并非在摧毁诗歌，而是在用哲学理性的严整架构（Logos）对古老诗歌的神秘感性（Mythos）进行深刻的清洗与升华。在柏拉图手中，被哲学驯服与重构后的诗性语言，不再是遮蔽真理的迷药，而是引导被束缚在洞穴底部的囚徒转首面向太阳真光的指路明灯。</w:t>
      </w:r>
    </w:p>
    <w:p>
      <w:pPr>
        <w:spacing w:before="280" w:after="120" w:line="360" w:lineRule="auto"/>
        <w:ind w:firstLine="0"/>
        <w:jc w:val="left"/>
      </w:pPr>
      <w:r>
        <w:rPr>
          <w:rFonts w:ascii="Times New Roman" w:hAnsi="Times New Roman" w:eastAsia="SimHei" w:cs="Times New Roman"/>
          <w:b/>
          <w:i w:val="0"/>
          <w:sz w:val="28"/>
        </w:rPr>
        <w:t>五、 结语：在理性与审美之间——柏拉图放逐论的当代启示</w:t>
      </w:r>
    </w:p>
    <w:p>
      <w:pPr>
        <w:spacing w:before="0" w:after="0" w:line="360" w:lineRule="auto"/>
        <w:ind w:firstLine="480"/>
        <w:jc w:val="both"/>
      </w:pPr>
      <w:r>
        <w:rPr>
          <w:rFonts w:ascii="Times New Roman" w:hAnsi="Times New Roman" w:eastAsia="SimSun" w:cs="Times New Roman"/>
          <w:b w:val="0"/>
          <w:i w:val="0"/>
          <w:sz w:val="24"/>
        </w:rPr>
        <w:t>综上所述，柏拉图在《理想国》中放逐诗人的美学逻辑，绝非出自狭隘的偏执，而是其本体论上的唯理主义真理观、心灵哲学上的灵魂正义论以及政治学上的城邦教化论紧密啮合的产物。在柏拉图看来，审美活动从来不是悬置于现实真空中的纯粹形式游戏，它必然具有深刻的认识论后果与伦理政治渗透力。</w:t>
      </w:r>
    </w:p>
    <w:p>
      <w:pPr>
        <w:spacing w:before="0" w:after="0" w:line="360" w:lineRule="auto"/>
        <w:ind w:firstLine="480"/>
        <w:jc w:val="both"/>
      </w:pPr>
      <w:r>
        <w:rPr>
          <w:rFonts w:ascii="Times New Roman" w:hAnsi="Times New Roman" w:eastAsia="SimSun" w:cs="Times New Roman"/>
          <w:b w:val="0"/>
          <w:i w:val="0"/>
          <w:sz w:val="24"/>
        </w:rPr>
        <w:t>置身于当今消费主义盛行与感官娱乐泛滥的视听时代，柏拉图在两千多年前发出的警诫显得尤为深刻。当碎片化的视听狂欢不断消解公众的深度反思能力、情绪煽动屡屡压倒理性商谈时，重访柏拉图并非要复辟文化审查，而是提醒我们必须警惕审美自律走向虚无主义的恶果，重新思考艺术创作如何与追求真理的智性活动、维系社会正义的公共伦理达成健康的共生平衡。</w:t>
      </w:r>
    </w:p>
    <w:p>
      <w:pPr>
        <w:spacing w:before="320" w:after="120" w:line="360" w:lineRule="auto"/>
        <w:ind w:firstLine="0"/>
        <w:jc w:val="left"/>
      </w:pPr>
      <w:r>
        <w:rPr>
          <w:rFonts w:ascii="Times New Roman" w:hAnsi="Times New Roman" w:eastAsia="SimHei" w:cs="Times New Roman"/>
          <w:b/>
          <w:i w:val="0"/>
          <w:sz w:val="26"/>
        </w:rPr>
        <w:t>参考文献</w:t>
      </w:r>
    </w:p>
    <w:p>
      <w:pPr>
        <w:spacing w:before="40" w:after="40" w:line="312" w:lineRule="auto"/>
        <w:ind w:left="420" w:hanging="420"/>
        <w:jc w:val="both"/>
      </w:pPr>
      <w:r>
        <w:rPr>
          <w:rFonts w:ascii="Times New Roman" w:hAnsi="Times New Roman" w:eastAsia="SimSun" w:cs="Times New Roman"/>
          <w:b w:val="0"/>
          <w:i w:val="0"/>
          <w:sz w:val="21"/>
        </w:rPr>
        <w:t>[1] 柏拉图. 理想国[M]. 郭斌和, 张竹明, 译. 北京: 商务印书馆, 1986.</w:t>
      </w:r>
    </w:p>
    <w:p>
      <w:pPr>
        <w:spacing w:before="40" w:after="40" w:line="312" w:lineRule="auto"/>
        <w:ind w:left="420" w:hanging="420"/>
        <w:jc w:val="both"/>
      </w:pPr>
      <w:r>
        <w:rPr>
          <w:rFonts w:ascii="Times New Roman" w:hAnsi="Times New Roman" w:eastAsia="SimSun" w:cs="Times New Roman"/>
          <w:b w:val="0"/>
          <w:i w:val="0"/>
          <w:sz w:val="21"/>
        </w:rPr>
        <w:t>[2] 柏拉图. 柏拉图文艺对话集[M]. 朱光潜, 译. 北京: 人民文学出版社, 1963.</w:t>
      </w:r>
    </w:p>
    <w:p>
      <w:pPr>
        <w:spacing w:before="40" w:after="40" w:line="312" w:lineRule="auto"/>
        <w:ind w:left="420" w:hanging="420"/>
        <w:jc w:val="both"/>
      </w:pPr>
      <w:r>
        <w:rPr>
          <w:rFonts w:ascii="Times New Roman" w:hAnsi="Times New Roman" w:eastAsia="SimSun" w:cs="Times New Roman"/>
          <w:b w:val="0"/>
          <w:i w:val="0"/>
          <w:sz w:val="21"/>
        </w:rPr>
        <w:t>[3] 汪子嵩, 范明生, 陈村富, 姚介厚. 希腊哲学史(第二卷)[M]. 北京: 人民出版社, 1993.</w:t>
      </w:r>
    </w:p>
    <w:p>
      <w:pPr>
        <w:spacing w:before="40" w:after="40" w:line="312" w:lineRule="auto"/>
        <w:ind w:left="420" w:hanging="420"/>
        <w:jc w:val="both"/>
      </w:pPr>
      <w:r>
        <w:rPr>
          <w:rFonts w:ascii="Times New Roman" w:hAnsi="Times New Roman" w:eastAsia="SimSun" w:cs="Times New Roman"/>
          <w:b w:val="0"/>
          <w:i w:val="0"/>
          <w:sz w:val="21"/>
        </w:rPr>
        <w:t>[4] 艾瑞克·哈弗洛克. 柏拉图导论[M]. 周春生, 译. 上海: 华东师范大学出版社, 2012.</w:t>
      </w:r>
    </w:p>
    <w:p>
      <w:pPr>
        <w:spacing w:before="40" w:after="40" w:line="312" w:lineRule="auto"/>
        <w:ind w:left="420" w:hanging="420"/>
        <w:jc w:val="both"/>
      </w:pPr>
      <w:r>
        <w:rPr>
          <w:rFonts w:ascii="Times New Roman" w:hAnsi="Times New Roman" w:eastAsia="SimSun" w:cs="Times New Roman"/>
          <w:b w:val="0"/>
          <w:i w:val="0"/>
          <w:sz w:val="21"/>
        </w:rPr>
        <w:t>[5] 伯纳德特. 柏拉图《理想国》的弓与琴[M]. 程志敏, 译. 北京: 华夏出版社, 2007.</w:t>
      </w:r>
    </w:p>
    <w:p>
      <w:pPr>
        <w:spacing w:before="40" w:after="40" w:line="312" w:lineRule="auto"/>
        <w:ind w:left="420" w:hanging="420"/>
        <w:jc w:val="both"/>
      </w:pPr>
      <w:r>
        <w:rPr>
          <w:rFonts w:ascii="Times New Roman" w:hAnsi="Times New Roman" w:eastAsia="SimSun" w:cs="Times New Roman"/>
          <w:b w:val="0"/>
          <w:i w:val="0"/>
          <w:sz w:val="21"/>
        </w:rPr>
        <w:t>[6] M. F. Burnyeat. Culture and Society in Plato’s Republic[J]. The Tanner Lectures on Human Values, 1999, 20: 215-324.</w:t>
      </w:r>
    </w:p>
    <w:sectPr w:rsidR="00FC693F" w:rsidRPr="0006063C" w:rsidSect="00034616">
      <w:footerReference w:type="default" r:id="rId9"/>
      <w:pgSz w:w="11909" w:h="16834"/>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cs="Times New Roman"/>
        <w:b w:val="0"/>
        <w:i w:val="0"/>
        <w:sz w:val="18"/>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