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ind w:firstLine="0"/>
        <w:jc w:val="center"/>
      </w:pPr>
      <w:r>
        <w:rPr>
          <w:rFonts w:ascii="Times New Roman" w:hAnsi="Times New Roman" w:eastAsia="黑体"/>
          <w:b/>
          <w:sz w:val="36"/>
        </w:rPr>
        <w:t>模仿、真理与城邦秩序</w:t>
      </w:r>
    </w:p>
    <w:p>
      <w:pPr>
        <w:keepNext/>
        <w:spacing w:before="0" w:after="280"/>
        <w:ind w:firstLine="0"/>
        <w:jc w:val="center"/>
      </w:pPr>
      <w:r>
        <w:rPr>
          <w:rFonts w:ascii="Times New Roman" w:hAnsi="Times New Roman" w:eastAsia="黑体"/>
          <w:b w:val="0"/>
          <w:sz w:val="26"/>
        </w:rPr>
        <w:t>——论柏拉图放逐诗人的美学逻辑</w:t>
      </w:r>
    </w:p>
    <w:p>
      <w:pPr>
        <w:spacing w:after="280"/>
        <w:ind w:firstLine="0"/>
        <w:jc w:val="center"/>
      </w:pPr>
      <w:r>
        <w:rPr>
          <w:rFonts w:ascii="Times New Roman" w:hAnsi="Times New Roman" w:eastAsia="宋体"/>
          <w:sz w:val="21"/>
        </w:rPr>
        <w:t>姓名：__________    学号：__________    课程：西方美学    任课教师：__________</w:t>
      </w:r>
    </w:p>
    <w:p>
      <w:pPr>
        <w:spacing w:after="80" w:line="360" w:lineRule="auto"/>
        <w:ind w:firstLine="0"/>
      </w:pPr>
      <w:r>
        <w:rPr>
          <w:rFonts w:ascii="Times New Roman" w:hAnsi="Times New Roman" w:eastAsia="黑体"/>
          <w:b/>
          <w:sz w:val="24"/>
        </w:rPr>
        <w:t>摘  要：</w:t>
      </w:r>
      <w:r>
        <w:rPr>
          <w:rFonts w:ascii="Times New Roman" w:hAnsi="Times New Roman" w:eastAsia="宋体"/>
          <w:sz w:val="24"/>
        </w:rPr>
        <w:t>柏拉图在《理想国》中提出对诗人的审查乃至放逐，常被概括为哲学对艺术的敌意。但若把这一主张置于理念论、灵魂学说和城邦教育的整体结构中，它便不是孤立的审美判断，而是一项同时涉及真理资格、情感训练与政治秩序的制度安排。本文认为，柏拉图反对的并非一切艺术，而是不受哲学尺度约束、凭借逼真幻象和情感感染取得公共权威的模仿性诗歌。这种批判准确揭示了艺术塑造欲望与共同体想象的力量，却又因把真理标准和政治善置于审美经验之上，压缩了艺术通过虚构发现经验真相、容纳价值冲突的空间。理解这一双重性，才能既避免把柏拉图简单化为“反艺术者”，也不把他的审查原则合理化。</w:t>
      </w:r>
    </w:p>
    <w:p>
      <w:pPr>
        <w:spacing w:after="80" w:line="360" w:lineRule="auto"/>
        <w:ind w:firstLine="0"/>
      </w:pPr>
      <w:r>
        <w:rPr>
          <w:rFonts w:ascii="Times New Roman" w:hAnsi="Times New Roman" w:eastAsia="黑体"/>
          <w:b/>
          <w:sz w:val="24"/>
        </w:rPr>
        <w:t>关键词：</w:t>
      </w:r>
      <w:r>
        <w:rPr>
          <w:rFonts w:ascii="Times New Roman" w:hAnsi="Times New Roman" w:eastAsia="宋体"/>
          <w:sz w:val="24"/>
        </w:rPr>
        <w:t>柏拉图；模仿；诗人放逐；理念论；审美自治</w:t>
      </w:r>
    </w:p>
    <w:p>
      <w:pPr>
        <w:pStyle w:val="Heading1"/>
      </w:pPr>
      <w:r>
        <w:t>一、问题的提出：哲学为何要审判诗歌</w:t>
      </w:r>
    </w:p>
    <w:p>
      <w:pPr>
        <w:spacing w:before="0" w:after="0" w:line="360" w:lineRule="auto"/>
        <w:ind w:firstLine="480"/>
        <w:jc w:val="both"/>
      </w:pPr>
      <w:r>
        <w:rPr>
          <w:rFonts w:ascii="Times New Roman" w:hAnsi="Times New Roman" w:eastAsia="宋体"/>
          <w:sz w:val="24"/>
        </w:rPr>
        <w:t>在古希腊，诗歌并不只是供人消遣的文学门类。荷马史诗参与保存神话、解释历史、塑造英雄范型，诗人也因而兼具教育者和公共记忆维护者的身份。柏拉图让哲学与诗歌发生冲突，争夺的首先不是某种艺术趣味，而是谁有资格说明真实、规定善的生活。若忽略这一制度背景，只把“放逐诗人”理解为个人偏见，就会错过其论证的真正锋芒。</w:t>
      </w:r>
    </w:p>
    <w:p>
      <w:pPr>
        <w:spacing w:before="0" w:after="0" w:line="360" w:lineRule="auto"/>
        <w:ind w:firstLine="480"/>
        <w:jc w:val="both"/>
      </w:pPr>
      <w:r>
        <w:rPr>
          <w:rFonts w:ascii="Times New Roman" w:hAnsi="Times New Roman" w:eastAsia="宋体"/>
          <w:sz w:val="24"/>
        </w:rPr>
        <w:t>《理想国》对诗歌的讨论分布在城邦教育与理念论两个层面。第二、三卷关注故事内容、模仿方式以及守卫者的性格训练，第十卷则从模仿物与真理的距离出发，对诗歌作更彻底的追问。两组论证并非简单重复：前者讨论艺术造成什么样的人，后者讨论艺术凭什么自称知道它所表现的事物。把二者连接起来，可以看到柏拉图的核心担忧：诗歌在缺乏知识的情况下拥有塑造灵魂的能力。</w:t>
      </w:r>
    </w:p>
    <w:p>
      <w:pPr>
        <w:spacing w:before="0" w:after="0" w:line="360" w:lineRule="auto"/>
        <w:ind w:firstLine="480"/>
        <w:jc w:val="both"/>
      </w:pPr>
      <w:r>
        <w:rPr>
          <w:rFonts w:ascii="Times New Roman" w:hAnsi="Times New Roman" w:eastAsia="宋体"/>
          <w:sz w:val="24"/>
        </w:rPr>
        <w:t>本文据此提出，诗人放逐不是单一的认识论结论，而是“真理资格—灵魂结构—城邦秩序”三环相扣的结果。它的合理部分在于揭示形式感染力从不完全中立；它的限度则在于把虚构的认识价值压缩为对既定真理的复制，使艺术只能在哲学预先划定的善之秩序内获得合法性。</w:t>
      </w:r>
    </w:p>
    <w:p>
      <w:pPr>
        <w:pStyle w:val="Heading1"/>
      </w:pPr>
      <w:r>
        <w:t>二、模仿与真理的距离：艺术的认识论降格</w:t>
      </w:r>
    </w:p>
    <w:p>
      <w:pPr>
        <w:spacing w:before="0" w:after="0" w:line="360" w:lineRule="auto"/>
        <w:ind w:firstLine="480"/>
        <w:jc w:val="both"/>
      </w:pPr>
      <w:r>
        <w:rPr>
          <w:rFonts w:ascii="Times New Roman" w:hAnsi="Times New Roman" w:eastAsia="宋体"/>
          <w:sz w:val="24"/>
        </w:rPr>
        <w:t>柏拉图的模仿批判以理念论的等级秩序为基础。理念不是许多个别事物的共同名称，而是事物之所以成为其所是的根据。工匠按照某种用途和形式制造具体器物，画家或诗人则再现器物的外观。于是，模仿作品并不掌握对象的本质和功用，只呈现对象在特定角度下显得如何。艺术越能制造“仿佛在场”的效果，越可能掩盖自己并不拥有相应知识这一事实。</w:t>
      </w:r>
    </w:p>
    <w:p>
      <w:pPr>
        <w:spacing w:before="0" w:after="0" w:line="360" w:lineRule="auto"/>
        <w:ind w:firstLine="480"/>
        <w:jc w:val="both"/>
      </w:pPr>
      <w:r>
        <w:rPr>
          <w:rFonts w:ascii="Times New Roman" w:hAnsi="Times New Roman" w:eastAsia="宋体"/>
          <w:sz w:val="24"/>
        </w:rPr>
        <w:t>这套论证的重点并非机械计算艺术距离理念究竟有几层，而是区分知识与效果。懂得马具的人应知道它如何适合骑乘，懂得医术的人应能说明并实践治疗；模仿者却可能只凭色彩、节奏和叙事，使听众相信他理解战争、政治、神明和德性。柏拉图怀疑的正是表现能力向知识权威的越界。逼真并不自动等于真实，情节连贯也不等于对善的把握。</w:t>
      </w:r>
    </w:p>
    <w:p>
      <w:pPr>
        <w:spacing w:before="0" w:after="0" w:line="360" w:lineRule="auto"/>
        <w:ind w:firstLine="480"/>
        <w:jc w:val="both"/>
      </w:pPr>
      <w:r>
        <w:rPr>
          <w:rFonts w:ascii="Times New Roman" w:hAnsi="Times New Roman" w:eastAsia="宋体"/>
          <w:sz w:val="24"/>
        </w:rPr>
        <w:t>然而，这一判断预设了艺术的任务是提供关于对象的命题性知识。诗歌固然不能替代医术或政治学，但它可以通过人物处境呈现选择的代价，通过虚构组织分散经验，使读者理解恐惧、悔恨和两难。艺术所给予的未必是“怎样制造一张床”的知识，而可能是“拥有、失去或记忆某物意味着什么”的经验理解。柏拉图准确地区分了外观与知识，却过快地把非概念性的理解归入无知。</w:t>
      </w:r>
    </w:p>
    <w:p>
      <w:pPr>
        <w:pStyle w:val="Heading1"/>
      </w:pPr>
      <w:r>
        <w:t>三、灵魂的感染与城邦的教育</w:t>
      </w:r>
    </w:p>
    <w:p>
      <w:pPr>
        <w:spacing w:before="0" w:after="0" w:line="360" w:lineRule="auto"/>
        <w:ind w:firstLine="480"/>
        <w:jc w:val="both"/>
      </w:pPr>
      <w:r>
        <w:rPr>
          <w:rFonts w:ascii="Times New Roman" w:hAnsi="Times New Roman" w:eastAsia="宋体"/>
          <w:sz w:val="24"/>
        </w:rPr>
        <w:t>如果艺术只是无害的假象，柏拉图无需如此警惕。诗歌真正的政治危险来自它对灵魂非理性部分的直接作用。《理想国》把正义的人理解为灵魂各部分在理性统治下各安其位；悲剧和史诗却常诱导观众同情哀叹、愤怒与欲望。人在现实生活中可能以克制为荣，在剧场中却享受情感的释放。反复的审美认同会形成习惯，使原本应受节制的冲动获得语言、姿态和榜样。</w:t>
      </w:r>
    </w:p>
    <w:p>
      <w:pPr>
        <w:spacing w:before="0" w:after="0" w:line="360" w:lineRule="auto"/>
        <w:ind w:firstLine="480"/>
        <w:jc w:val="both"/>
      </w:pPr>
      <w:r>
        <w:rPr>
          <w:rFonts w:ascii="Times New Roman" w:hAnsi="Times New Roman" w:eastAsia="宋体"/>
          <w:sz w:val="24"/>
        </w:rPr>
        <w:t>因此，柏拉图早期教育方案特别重视故事中神与英雄的形象。若神明被描述为欺骗、争斗和反复无常，青年便可能把失范行为理解为高贵者同样会做的事情；若守卫者长期模仿软弱、贪婪或卑劣的人物，角色姿态也可能沉淀为自身性格。艺术在这里不是现实之外的独立领域，而是一种反复操练感受和行动方式的社会技术。</w:t>
      </w:r>
    </w:p>
    <w:p>
      <w:pPr>
        <w:spacing w:before="0" w:after="0" w:line="360" w:lineRule="auto"/>
        <w:ind w:firstLine="480"/>
        <w:jc w:val="both"/>
      </w:pPr>
      <w:r>
        <w:rPr>
          <w:rFonts w:ascii="Times New Roman" w:hAnsi="Times New Roman" w:eastAsia="宋体"/>
          <w:sz w:val="24"/>
        </w:rPr>
        <w:t>这一洞察至今仍具解释力。现代影视、广告与短视频并不通过论证逐条说服观众，它们更多借助节奏、镜头、人物魅力和重复曝光建立情感联结。审美形式能够在判断之前安排注意力，在明确立场之前规定什么值得羡慕或嘲笑。柏拉图由此提醒我们：艺术自由并不意味着艺术没有后果，讨论作品也不能只检查其字面命题。</w:t>
      </w:r>
    </w:p>
    <w:p>
      <w:pPr>
        <w:pStyle w:val="Heading1"/>
      </w:pPr>
      <w:r>
        <w:t>四、“反艺术”判断的修正：被允许的诗与受约束的诗</w:t>
      </w:r>
    </w:p>
    <w:p>
      <w:pPr>
        <w:spacing w:before="0" w:after="0" w:line="360" w:lineRule="auto"/>
        <w:ind w:firstLine="480"/>
        <w:jc w:val="both"/>
      </w:pPr>
      <w:r>
        <w:rPr>
          <w:rFonts w:ascii="Times New Roman" w:hAnsi="Times New Roman" w:eastAsia="宋体"/>
          <w:sz w:val="24"/>
        </w:rPr>
        <w:t>把柏拉图称作彻底的反艺术者并不准确。他并未否定节奏、和声、叙事和形象对教育的作用，反而正因高度评价这些力量，才要求为它们规定方向。在理想城邦中，赞美神与善人的诗仍可保留，合宜的音乐形式也参与培养勇敢和节制。被排除的不是一切制作和表演，而是拒绝接受真理与德性审查的诗歌权威。</w:t>
      </w:r>
    </w:p>
    <w:p>
      <w:pPr>
        <w:spacing w:before="0" w:after="0" w:line="360" w:lineRule="auto"/>
        <w:ind w:firstLine="480"/>
        <w:jc w:val="both"/>
      </w:pPr>
      <w:r>
        <w:rPr>
          <w:rFonts w:ascii="Times New Roman" w:hAnsi="Times New Roman" w:eastAsia="宋体"/>
          <w:sz w:val="24"/>
        </w:rPr>
        <w:t>这一区分也暴露出柏拉图美学的根本结构：艺术没有独立决定自身价值的权利。作品是否优良，最终取决于它是否再现正确对象、培养正确情感并服务正义城邦。审美快感只是次级标准，甚至可能因其诱惑性而更值得怀疑。诗人若要返回城邦，必须证明诗歌不仅令人愉快，而且对制度和人生有益。</w:t>
      </w:r>
    </w:p>
    <w:p>
      <w:pPr>
        <w:spacing w:before="0" w:after="0" w:line="360" w:lineRule="auto"/>
        <w:ind w:firstLine="480"/>
        <w:jc w:val="both"/>
      </w:pPr>
      <w:r>
        <w:rPr>
          <w:rFonts w:ascii="Times New Roman" w:hAnsi="Times New Roman" w:eastAsia="宋体"/>
          <w:sz w:val="24"/>
        </w:rPr>
        <w:t>这种立场比“柏拉图不懂艺术”更复杂，也更值得批评。问题不在于他要求艺术承担伦理责任，而在于责任的内容由一个自认为已经掌握善之知识的哲学秩序单方面决定。当哲学家既制定真理标准，又控制作品准入，艺术揭露秩序盲点、表达边缘经验和试验另类生活的能力便会被提前取消。</w:t>
      </w:r>
    </w:p>
    <w:p>
      <w:pPr>
        <w:pStyle w:val="Heading1"/>
      </w:pPr>
      <w:r>
        <w:t>五、反方意见及回应：审美自治是否等于逃避责任</w:t>
      </w:r>
    </w:p>
    <w:p>
      <w:pPr>
        <w:spacing w:before="0" w:after="0" w:line="360" w:lineRule="auto"/>
        <w:ind w:firstLine="480"/>
        <w:jc w:val="both"/>
      </w:pPr>
      <w:r>
        <w:rPr>
          <w:rFonts w:ascii="Times New Roman" w:hAnsi="Times New Roman" w:eastAsia="宋体"/>
          <w:sz w:val="24"/>
        </w:rPr>
        <w:t>反对上述批评的人可能指出，任何共同体都必须保护未成熟的受教育者，现代社会也会限制煽动暴力、仇恨或欺骗性的传播。既然艺术确实能塑造人格，柏拉图要求公共教育选择适当作品并非毫无道理。若把审美自治理解为作品不受任何伦理评价，艺术就会借“只是虚构”逃避现实后果。</w:t>
      </w:r>
    </w:p>
    <w:p>
      <w:pPr>
        <w:spacing w:before="0" w:after="0" w:line="360" w:lineRule="auto"/>
        <w:ind w:firstLine="480"/>
        <w:jc w:val="both"/>
      </w:pPr>
      <w:r>
        <w:rPr>
          <w:rFonts w:ascii="Times New Roman" w:hAnsi="Times New Roman" w:eastAsia="宋体"/>
          <w:sz w:val="24"/>
        </w:rPr>
        <w:t>这一反驳成立之处，是迫使审美理论承认作品存在于制度和传播关系中。但从“艺术有后果”并不能直接推出“哲学权威有权预先决定艺术内容”。教育中的分级、讨论和批判性阅读，可以在保护与开放之间形成多层机制；直接放逐则把观众设想为只能被动感染的人，也把意义理解为作品向心灵的单向灌输。事实上，观众能够比较、反思乃至抵抗作品提供的立场。</w:t>
      </w:r>
    </w:p>
    <w:p>
      <w:pPr>
        <w:spacing w:before="0" w:after="0" w:line="360" w:lineRule="auto"/>
        <w:ind w:firstLine="480"/>
        <w:jc w:val="both"/>
      </w:pPr>
      <w:r>
        <w:rPr>
          <w:rFonts w:ascii="Times New Roman" w:hAnsi="Times New Roman" w:eastAsia="宋体"/>
          <w:sz w:val="24"/>
        </w:rPr>
        <w:t>更稳妥的结论是：审美自治不是道德豁免，而是保留艺术提出问题和制造不一致的制度空间。作品可以接受伦理批评，却不应只因没有给出正确榜样便被否定。艺术的公共责任应与解释的开放性并存，这一点正是柏拉图的城邦方案未能充分容纳的。</w:t>
      </w:r>
    </w:p>
    <w:p>
      <w:pPr>
        <w:pStyle w:val="Heading1"/>
      </w:pPr>
      <w:r>
        <w:t>六、结语</w:t>
      </w:r>
    </w:p>
    <w:p>
      <w:pPr>
        <w:spacing w:before="0" w:after="0" w:line="360" w:lineRule="auto"/>
        <w:ind w:firstLine="480"/>
        <w:jc w:val="both"/>
      </w:pPr>
      <w:r>
        <w:rPr>
          <w:rFonts w:ascii="Times New Roman" w:hAnsi="Times New Roman" w:eastAsia="宋体"/>
          <w:sz w:val="24"/>
        </w:rPr>
        <w:t>柏拉图放逐诗人的论证建立在严密的整体结构中：模仿者缺少关于本质和功用的知识，却能以形式魅力影响灵魂；灵魂习惯又会积累为城邦秩序。因此，诗歌必须服从哲学所把握的真与善。这不是对艺术力量的轻视，而恰恰是对艺术力量的高度估计。</w:t>
      </w:r>
    </w:p>
    <w:p>
      <w:pPr>
        <w:spacing w:before="0" w:after="0" w:line="360" w:lineRule="auto"/>
        <w:ind w:firstLine="480"/>
        <w:jc w:val="both"/>
      </w:pPr>
      <w:r>
        <w:rPr>
          <w:rFonts w:ascii="Times New Roman" w:hAnsi="Times New Roman" w:eastAsia="宋体"/>
          <w:sz w:val="24"/>
        </w:rPr>
        <w:t>但柏拉图把艺术认识限制为对既定真理的复制，也把观众理解得过于被动。虚构并非只能制造幻觉，它还能够让尚无确定答案的经验获得形式；情感也并非理性的天然敌人，它可能成为理解他者和检验价值的条件。柏拉图留给后世的真正问题，不是“要不要艺术”，而是当艺术拥有塑造公共感受的力量时，如何既追究其责任，又不让真理与政治权威垄断想象。</w:t>
      </w:r>
    </w:p>
    <w:p>
      <w:pPr>
        <w:pStyle w:val="Heading1"/>
      </w:pPr>
      <w:r>
        <w:t>参考文献</w:t>
      </w:r>
    </w:p>
    <w:p>
      <w:pPr>
        <w:spacing w:after="60" w:line="300" w:lineRule="auto"/>
        <w:ind w:hanging="440" w:left="440"/>
      </w:pPr>
      <w:r>
        <w:rPr>
          <w:rFonts w:ascii="Times New Roman" w:hAnsi="Times New Roman" w:eastAsia="宋体"/>
          <w:sz w:val="21"/>
        </w:rPr>
        <w:t>[1] 柏拉图. 理想国[M]. 郭斌和, 张竹明, 译. 北京: 商务印书馆, 1986.</w:t>
      </w:r>
    </w:p>
    <w:p>
      <w:pPr>
        <w:spacing w:after="60" w:line="300" w:lineRule="auto"/>
        <w:ind w:hanging="440" w:left="440"/>
      </w:pPr>
      <w:r>
        <w:rPr>
          <w:rFonts w:ascii="Times New Roman" w:hAnsi="Times New Roman" w:eastAsia="宋体"/>
          <w:sz w:val="21"/>
        </w:rPr>
        <w:t>[2] 朱光潜. 西方美学史[M]. 北京: 人民文学出版社, 1979.</w:t>
      </w:r>
    </w:p>
    <w:p>
      <w:pPr>
        <w:spacing w:after="60" w:line="300" w:lineRule="auto"/>
        <w:ind w:hanging="440" w:left="440"/>
      </w:pPr>
      <w:r>
        <w:rPr>
          <w:rFonts w:ascii="Times New Roman" w:hAnsi="Times New Roman" w:eastAsia="宋体"/>
          <w:sz w:val="21"/>
        </w:rPr>
        <w:t>[3] 叶朗. 美学原理[M]. 北京: 北京大学出版社, 2009.</w:t>
      </w:r>
    </w:p>
    <w:p>
      <w:pPr>
        <w:spacing w:after="60" w:line="300" w:lineRule="auto"/>
        <w:ind w:hanging="440" w:left="440"/>
      </w:pPr>
      <w:r>
        <w:rPr>
          <w:rFonts w:ascii="Times New Roman" w:hAnsi="Times New Roman" w:eastAsia="宋体"/>
          <w:sz w:val="21"/>
        </w:rPr>
        <w:t>[4] 章安祺. 西方文艺理论史精读文献[M]. 北京: 中国人民大学出版社, 2003.</w:t>
      </w:r>
    </w:p>
    <w:sectPr w:rsidR="00FC693F" w:rsidRPr="0006063C" w:rsidSect="00034616">
      <w:headerReference w:type="default" r:id="rId9"/>
      <w:footerReference w:type="default" r:id="rId10"/>
      <w:pgSz w:w="11906" w:h="16838"/>
      <w:pgMar w:top="1417" w:right="1474" w:bottom="1417" w:left="1587" w:header="794"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宋体"/>
        <w:color w:val="64646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宋体"/>
        <w:color w:val="6E6E6E"/>
        <w:sz w:val="18"/>
      </w:rPr>
      <w:t>柏拉图的模仿论与城邦秩序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ind w:firstLine="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模仿、真理与城邦秩序——论柏拉图放逐诗人的美学逻辑</dc:title>
  <dc:subject>大学西方美学课程论文</dc:subject>
  <dc:creator/>
  <cp:keywords>柏拉图, 模仿, 诗人放逐, 理念论, 审美自治</cp:keywords>
  <dc:description/>
  <cp:lastModifiedBy/>
  <cp:revision>1</cp:revision>
  <dcterms:created xsi:type="dcterms:W3CDTF">2013-12-23T23:15:00Z</dcterms:created>
  <dcterms:modified xsi:type="dcterms:W3CDTF">2013-12-23T23:15:00Z</dcterms:modified>
  <cp:category/>
</cp:coreProperties>
</file>