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日神与酒神之间</w:t>
      </w:r>
    </w:p>
    <w:p>
      <w:pPr>
        <w:keepNext/>
        <w:spacing w:before="0" w:after="280"/>
        <w:ind w:firstLine="0"/>
        <w:jc w:val="center"/>
      </w:pPr>
      <w:r>
        <w:rPr>
          <w:rFonts w:ascii="Times New Roman" w:hAnsi="Times New Roman" w:eastAsia="黑体"/>
          <w:b w:val="0"/>
          <w:sz w:val="26"/>
        </w:rPr>
        <w:t>——尼采悲剧美学中的生命肯定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宋体"/>
          <w:sz w:val="21"/>
        </w:rPr>
        <w:t>姓名：__________    学号：__________    课程：西方美学    任课教师：__________</w:t>
      </w:r>
    </w:p>
    <w:p>
      <w:pPr>
        <w:spacing w:after="8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摘  要：</w:t>
      </w:r>
      <w:r>
        <w:rPr>
          <w:rFonts w:ascii="Times New Roman" w:hAnsi="Times New Roman" w:eastAsia="宋体"/>
          <w:sz w:val="24"/>
        </w:rPr>
        <w:t>尼采在《悲剧的诞生》中以日神与酒神两种艺术冲动解释希腊悲剧。这一框架常被缩减为理性与非理性、秩序与混乱的静态二分，进而把尼采理解为单纯歌颂陶醉和破坏。本文认为，日神与酒神的理论价值不在于给艺术作品贴上两类标签，而在于说明个体形式与生命整体、美的显现与痛苦真相如何在悲剧中相互生成。悲剧既不回避生存的毁灭性，也不以绝望作结，而是借形象、音乐和舞台行动使人能够承受并肯定生命。苏格拉底主义受到批判，不是因为思考本身有罪，而是因为概念理性企图把存在完全改造为可解释、可纠正的对象。在承认该理论历史概括过强的同时，它仍为理解艺术如何处理创伤与矛盾提供了有力模型。</w:t>
      </w:r>
    </w:p>
    <w:p>
      <w:pPr>
        <w:spacing w:after="8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sz w:val="24"/>
        </w:rPr>
        <w:t>尼采；日神；酒神；希腊悲剧；生命肯定</w:t>
      </w:r>
    </w:p>
    <w:p>
      <w:pPr>
        <w:pStyle w:val="Heading1"/>
      </w:pPr>
      <w:r>
        <w:t>一、问题的提出：二分标签之外的悲剧理论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“日神”与“酒神”已经成为最流行的尼采术语之一。前者常被等同于理性、秩序和古典形式，后者则被等同于非理性、狂欢与破坏。这样的对应便于记忆，却容易把《悲剧的诞生》读成性格分类表：某件作品要么日神，要么酒神。事实上，尼采关心的是两种冲动如何冲突、结盟并共同产生悲剧，而不是建立彼此隔绝的类型学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这一问题关系到尼采美学的基本方向。如果日神只是虚假外观，酒神才代表真理，那么悲剧最终只需撕毁个体形象；如果酒神只是无序素材，日神负责理性驯服，那么理论又会回到形式对混乱的单向统治。尼采的独特性恰恰在于拒绝这两种单边结论：悲剧让观众直面个体毁灭，同时通过可见形象和音乐经验把毁灭转化为对生命整体的肯定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本文将日神与酒神理解为动态的艺术关系。日神原则生成边界、形象和可观看的梦境，酒神原则松动个体边界、暴露痛苦并使人体验更广阔的生命共同性。悲剧不是二者的平均折中，而是让二者在张力中彼此需要。</w:t>
      </w:r>
    </w:p>
    <w:p>
      <w:pPr>
        <w:pStyle w:val="Heading1"/>
      </w:pPr>
      <w:r>
        <w:t>二、日神冲动：个体化、形象与美的界限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尼采借希腊神阿波罗命名日神冲动，并以梦境说明它的艺术机制。梦中的形象明晰、生动，观看者沉浸其中，却仍隐约知道那是显现而非日常现实。日神艺术由此建立个体边界，使纷乱经验获得轮廓、比例和节制。雕塑、史诗人物和舞台上的英雄，都以可辨认的形象让世界变得可以凝视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这种美的显现并非浅薄装饰。面对生存中的无常、冲突与死亡，个体若毫无遮蔽地承受全部痛苦，生活可能失去继续的形式。日神幻象提供必要距离，把不可忍受之物组织为命运、人物与行动。英雄即使走向毁灭，也因形象的完整性而获得尊严。艺术不是否认痛苦存在，而是为痛苦建立可以观看和叙述的边界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但日神原则若独自扩张，也会把个体化的世界误认作全部真实。清晰形象使人忘记边界本身具有暂时性，和谐外观也可能遮蔽生命底层的矛盾。于是，日神需要酒神的冲击来提醒它：个体形式并非封闭实体，而是在生成与毁灭中短暂出现的表象。</w:t>
      </w:r>
    </w:p>
    <w:p>
      <w:pPr>
        <w:pStyle w:val="Heading1"/>
      </w:pPr>
      <w:r>
        <w:t>三、酒神冲动：边界瓦解与痛苦真相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酒神经验以陶醉、音乐、节庆和集体性的身体状态为象征。在这种经验中，日常身份与社会区隔暂时松动，个体不再仅把自己理解为孤立主体，而感到与他人、自然以及生命生成过程重新联结。酒神并不是简单失控，它包含对个体化原则的突破：生命不能被单个自我的安全、目的和道德计算完全说明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这种联结并不温柔。酒神真相同时揭示生成以毁灭为条件，个体生命必然遭遇痛苦和终结。尼采拒绝用一个更高的道德目的消除这一事实，也不把世界解释为最终会得到理性补偿的过程。酒神智慧令人恐惧，因为它让人看到个体的有限性，却也解除个体把自身保存视为最高尺度的执念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若只强调瓦解，酒神经验可能退化为无形式的狂乱，无法成为可持续的艺术。音乐和合唱队所唤起的整体感受，仍需通过舞台形象、神话和英雄命运进入可交流的结构。酒神需要日神给予面孔，正如日神需要酒神给予深度。</w:t>
      </w:r>
    </w:p>
    <w:p>
      <w:pPr>
        <w:pStyle w:val="Heading1"/>
      </w:pPr>
      <w:r>
        <w:t>四、悲剧的生成：不是调和，而是张力中的转化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希腊悲剧在尼采笔下源于酒神合唱队，并在舞台上投射出日神式的英雄形象。观众看见俄狄浦斯或普罗米修斯作为独特个体行动、受难，却又通过音乐和合唱感到，英雄毁灭并不等于生命本身被否定。个体形式破碎，创造形式的生命力量仍在继续。悲剧快感因此不是幸灾乐祸，也不是道德报应得到满足，而是对生成整体的审美肯定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这种肯定不同于廉价乐观。悲剧没有证明一切痛苦最终都有好结果，也没有把矛盾解释为暂时误会。它把痛苦保留在作品内部，同时改变主体承受痛苦的方式。通过节奏、形象和共同观看，观众不再只是遭受事件，而能把毁灭经验组织为一种有强度的形式。艺术的拯救不是取消现实，而是使现实在不被美化的情况下仍可被肯定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因此，日神与酒神不是彼此抵消。日神没有消毒酒神真相，酒神也没有摧毁一切形式；二者共同完成从“痛苦使生命不值得”到“生命连同痛苦仍值得创造”的转化。这一动态关系构成尼采悲剧美学最重要的理论贡献。</w:t>
      </w:r>
    </w:p>
    <w:p>
      <w:pPr>
        <w:pStyle w:val="Heading1"/>
      </w:pPr>
      <w:r>
        <w:t>五、苏格拉底主义批判：理性何时成为审美问题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尼采把悲剧衰落与欧里庇得斯、苏格拉底式理性主义联系起来。在“只有可理解者才是美的”这一倾向下，舞台人物必须能够说明自己的行为，冲突必须接受因果解释，存在也仿佛只要获得足够知识便能被纠正。悲剧中不可消除的矛盾由此被问题求解模式取代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这并不意味着尼采反对一切思考。真正受到批判的是理论乐观主义：它把概念知识当作存在的终极裁判，相信无知是痛苦的根源、知识能够修复生命。对尼采而言，有些痛苦来自个体化和生成本身，不可能靠增加解释完全消除。艺术之所以必要，正在于人不仅需要知道事实，还需要形成承受事实的力量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不过，把希腊悲剧的复杂演变主要归因于苏格拉底精神，显然带有青年尼采的宏大概括。艺术类型的变化还涉及政治制度、表演空间、宗教实践和观众构成。将这段叙述看作严格历史因果会产生困难；将它视为对现代文化过度相信可计算、可解释性的谱系诊断，则仍具有启发性。</w:t>
      </w:r>
    </w:p>
    <w:p>
      <w:pPr>
        <w:pStyle w:val="Heading1"/>
      </w:pPr>
      <w:r>
        <w:t>六、反方意见及回应：生命肯定会不会美化痛苦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对尼采的一个重要质疑是：若艺术把痛苦转化为审美快感，会不会削弱改变不公现实的意愿？“肯定生命”若不区分自然有限性与制度造成的伤害，就可能要求受苦者接受本可避免的压迫。进一步说，酒神式集体陶醉也可能被政治力量利用，使个人判断淹没在群体激情中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这一批评要求为尼采美学设置必要边界。审美转化不能替代责任判断，承认生命包含痛苦也不等于所有具体痛苦都应保存。疾病、死亡等有限性与战争、歧视等人为伤害必须区分。艺术使经验可承受，并不免除人们追查原因和改变制度的义务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但若因此否定悲剧的生命肯定，也会忽略行动所需要的情感条件。人不可能只靠正确判断持续面对失败、损失和不可逆事件。悲剧所培养的不是顺从，而是一种不因世界不完美便退出生活的能力。经过伦理限制后，尼采的命题可以被表述为：改变能够改变的痛苦，同时为不能被完全消除的有限性创造形式。</w:t>
      </w:r>
    </w:p>
    <w:p>
      <w:pPr>
        <w:pStyle w:val="Heading1"/>
      </w:pPr>
      <w:r>
        <w:t>七、当代意义：艺术如何处理创伤与矛盾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当代作品经常面对战争记忆、家庭创伤、生态危机和身份冲突。若只追求日神式整洁，作品可能把创伤包装成易于消费的完整故事；若只追求酒神式强度，又可能让碎裂和冲击停留在无法交流的私人体验。尼采的动态模型提示，真正有力的形式既要允许经验撕裂既有边界，也要为撕裂建立能够分享的节奏与形象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同样，这一模型也能帮助理解流行文化中的大型演出、音乐节和沉浸式媒介。集体节奏暂时松动孤立感，视觉形象又为共同情绪提供可辨认的符号。问题不在于这些体验天然解放或天然危险，而在于它们把个体引向何种共同性：是更能承认差异和有限，还是把人吸收到拒绝反思的统一激情中。</w:t>
      </w:r>
    </w:p>
    <w:p>
      <w:pPr>
        <w:pStyle w:val="Heading1"/>
      </w:pPr>
      <w:r>
        <w:t>八、结语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日神与酒神不是理性与疯狂的简单对立，也不是给作品分类的固定标签。日神创造个体形象和可观看的边界，酒神揭示边界的暂时性以及生命生成中的痛苦。悲剧让二者在冲突中合作：以形式直面形式的毁灭，以个体命运感受超出个体的生命力量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尼采的历史叙述存在概括过强的问题，生命肯定也必须防止滑向对现实伤害的浪漫化。然而，他抓住了艺术不可替代的一项功能：艺术并不总能解决痛苦，却能改变人和痛苦相遇的方式。悲剧的价值不在于告诉我们世界终将合理，而在于使人即使看见世界不能完全合理，仍有力量继续判断、行动与创造。</w:t>
      </w:r>
    </w:p>
    <w:p>
      <w:pPr>
        <w:pStyle w:val="Heading1"/>
      </w:pPr>
      <w:r>
        <w:t>参考文献</w:t>
      </w:r>
    </w:p>
    <w:p>
      <w:pPr>
        <w:spacing w:after="60" w:line="300" w:lineRule="auto"/>
        <w:ind w:hanging="440" w:left="440"/>
      </w:pPr>
      <w:r>
        <w:rPr>
          <w:rFonts w:ascii="Times New Roman" w:hAnsi="Times New Roman" w:eastAsia="宋体"/>
          <w:sz w:val="21"/>
        </w:rPr>
        <w:t>[1] 尼采. 悲剧的诞生[M]. 周国平, 译. 北京: 生活·读书·新知三联书店, 1986.</w:t>
      </w:r>
    </w:p>
    <w:p>
      <w:pPr>
        <w:spacing w:after="60" w:line="300" w:lineRule="auto"/>
        <w:ind w:hanging="440" w:left="440"/>
      </w:pPr>
      <w:r>
        <w:rPr>
          <w:rFonts w:ascii="Times New Roman" w:hAnsi="Times New Roman" w:eastAsia="宋体"/>
          <w:sz w:val="21"/>
        </w:rPr>
        <w:t>[2] 朱光潜. 西方美学史[M]. 北京: 人民文学出版社, 1979.</w:t>
      </w:r>
    </w:p>
    <w:p>
      <w:pPr>
        <w:spacing w:after="60" w:line="300" w:lineRule="auto"/>
        <w:ind w:hanging="440" w:left="440"/>
      </w:pPr>
      <w:r>
        <w:rPr>
          <w:rFonts w:ascii="Times New Roman" w:hAnsi="Times New Roman" w:eastAsia="宋体"/>
          <w:sz w:val="21"/>
        </w:rPr>
        <w:t>[3] 周国平. 尼采: 在世纪的转折点上[M]. 上海: 上海人民出版社, 1986.</w:t>
      </w:r>
    </w:p>
    <w:p>
      <w:pPr>
        <w:spacing w:after="60" w:line="300" w:lineRule="auto"/>
        <w:ind w:hanging="440" w:left="440"/>
      </w:pPr>
      <w:r>
        <w:rPr>
          <w:rFonts w:ascii="Times New Roman" w:hAnsi="Times New Roman" w:eastAsia="宋体"/>
          <w:sz w:val="21"/>
        </w:rPr>
        <w:t>[4] 叶朗. 美学原理[M]. 北京: 北京大学出版社, 2009.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74" w:bottom="1417" w:left="1587" w:header="794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 w:eastAsia="宋体"/>
        <w:color w:val="64646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Times New Roman" w:hAnsi="Times New Roman" w:eastAsia="宋体"/>
        <w:color w:val="6E6E6E"/>
        <w:sz w:val="18"/>
      </w:rPr>
      <w:t>尼采悲剧美学中的生命肯定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0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0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日神与酒神之间——尼采悲剧美学中的生命肯定</dc:title>
  <dc:subject>大学西方美学课程论文</dc:subject>
  <dc:creator/>
  <cp:keywords>尼采, 日神, 酒神, 希腊悲剧, 生命肯定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