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艺术何以获得正当性</w:t>
      </w:r>
    </w:p>
    <w:p>
      <w:pPr>
        <w:keepNext/>
        <w:spacing w:after="280"/>
        <w:ind w:firstLine="0"/>
        <w:jc w:val="center"/>
      </w:pPr>
      <w:r>
        <w:rPr>
          <w:rFonts w:ascii="Times New Roman" w:hAnsi="Times New Roman" w:eastAsia="黑体"/>
          <w:color w:val="000000"/>
          <w:sz w:val="26"/>
        </w:rPr>
        <w:t>——从柏拉图的真理秩序、康德的审美自治到尼采的生命肯定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宋体"/>
          <w:color w:val="000000"/>
          <w:sz w:val="21"/>
        </w:rPr>
        <w:t>姓名：__________    学号：__________    课程：西方美学    任课教师：__________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摘  要：</w:t>
      </w:r>
      <w:r>
        <w:rPr>
          <w:rFonts w:ascii="Times New Roman" w:hAnsi="Times New Roman" w:eastAsia="宋体"/>
          <w:color w:val="000000"/>
          <w:sz w:val="24"/>
        </w:rPr>
        <w:t>艺术为什么值得存在，是西方美学反复回答却始终没有终结的问题。柏拉图、康德与尼采分别从真理秩序、主体自由和生命价值出发，为艺术规定了不同的正当性根据。柏拉图担忧模仿性诗歌凭借情感感染取得知识与政治权威，因而要求艺术服从真与善；康德通过无利害性、自由游戏和共同感，使审美判断摆脱私人欲望与确定概念的支配，建立艺术相对自治及其公共可交流性；尼采则把悲剧理解为日神与酒神冲动的动态结合，使艺术成为直面痛苦并肯定生命的力量。本文认为，三者并不构成由落后到先进的直线进步，而是分别揭示了艺术不可缺少的三个维度：公共后果、判断自由与生命承受力。当代艺术的正当性不能只诉诸政治功用、审美自治或情感强度中的任何一项，而应在责任、自由与生命创造之间形成可持续的张力。</w:t>
      </w:r>
    </w:p>
    <w:p>
      <w:pPr>
        <w:spacing w:after="8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关键词：</w:t>
      </w:r>
      <w:r>
        <w:rPr>
          <w:rFonts w:ascii="Times New Roman" w:hAnsi="Times New Roman" w:eastAsia="宋体"/>
          <w:color w:val="000000"/>
          <w:sz w:val="24"/>
        </w:rPr>
        <w:t>艺术正当性；柏拉图；康德；尼采；审美自治；生命肯定</w:t>
      </w:r>
    </w:p>
    <w:p>
      <w:pPr>
        <w:pStyle w:val="Heading1"/>
      </w:pPr>
      <w:r>
        <w:t>一、绪论：艺术为什么需要为自身辩护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艺术经常被描述为自由创造的领域，但这种自由从来不是无需说明的事实。在柏拉图那里，诗歌必须回答自己是否远离真理、败坏灵魂；在康德那里，审美判断必须说明个人愉快为什么可以要求他人赞同；在尼采那里，悲剧必须回答痛苦的世界为什么仍值得被肯定。三位哲学家所处时代、理论语言和问题背景迥异，却都在追问同一件事：艺术凭什么在人类生活中占据不可替代的位置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所谓“艺术正当性”，不是法律意义上的许可，也不只是艺术是否有用，而是艺术价值最终根据什么成立。如果艺术只是对真理的低劣复制，它便应接受认识和道德标准的管束；如果审美判断具有独立结构，艺术便可能获得不被功利与概念完全吸收的空间；如果生命本身包含无法由理性消除的痛苦，艺术还可能承担使人承受存在、继续创造的任务。正当性问题由此连接认识论、政治哲学、主体理论与生命哲学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既有讨论常把三家拆分为互不相关的知识点：柏拉图反对模仿，康德主张无利害，尼采讨论日神与酒神。这样的讲法便于记忆，却遮蔽了三种理论之间的争论关系。相关美学史、原理与文献研究为理解各家语境提供了基础[4-6]，本文则进一步以“艺术何以值得”为中心线索，先分别重建三家的论证，再从正当性根据、艺术与共同体的关系以及艺术责任三个维度进行比较。本文的中心判断是：西方美学在三家之间发生了从外部规范到主体自治、再到生命肯定的重心变化，但后一立场并未取消前一立场提出的问题。艺术需要自由，也必须面对公共后果；艺术能够肯定生命，却不能用审美转化美化可避免的伤害。</w:t>
      </w:r>
    </w:p>
    <w:p>
      <w:pPr>
        <w:pStyle w:val="Heading1"/>
      </w:pPr>
      <w:r>
        <w:t>二、柏拉图：真理与城邦秩序中的艺术</w:t>
      </w:r>
    </w:p>
    <w:p>
      <w:pPr>
        <w:pStyle w:val="Heading2"/>
      </w:pPr>
      <w:r>
        <w:t>（一）模仿与真理资格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理解柏拉图的艺术观，必须先看到古希腊诗歌的公共地位。荷马史诗不仅提供娱乐，还保存神话、传递伦理范型并参与青年教育。诗人因而不是现代意义上与政治相分离的私人创作者，而是关于神、英雄、战争和德性的解释者。柏拉图在《理想国》中审查诗歌，争夺的首先是谁有资格说明真实、规定善的生活，而不是哪一种艺术风格更合个人趣味[1]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理念论为模仿批判提供了认识论结构。理念是具体事物之所以成为其所是的根据，工匠依据用途与形式制造个别器物，画家或诗人则表现器物或行动显现出来的样子。模仿者可能精于制造逼真效果，却未必拥有关于对象本质、功用和善恶的知识。艺术越能让不存在之物仿佛在场，越可能把表现能力伪装成知识权威。柏拉图的关键区分因此不是现实与虚构的简单对立，而是“知道对象”与“善于产生对象效果”的差异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这项批判具有持久意义。叙事连贯不等于事实真实，视觉冲击也不等于价值正确，作品能够感动公众更不等于创作者理解自己表现的一切。现代影像、广告和短视频同样可以利用形式魅力取得超出其知识基础的可信度。不过，柏拉图也预设艺术应提供与哲学相同类型的真理，由此忽略虚构能够呈现人物处境、选择代价和情感结构。艺术未必告诉人如何制造一张床，却可能使人理解拥有、失去或记忆某物意味着什么。</w:t>
      </w:r>
    </w:p>
    <w:p>
      <w:pPr>
        <w:pStyle w:val="Heading2"/>
      </w:pPr>
      <w:r>
        <w:t>（二）情感训练与诗人放逐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柏拉图之所以不把模仿当作无害游戏，是因为艺术会绕过论证而训练灵魂。《理想国》要求灵魂的欲望、激情和理性各安其位，并由理性实行统摄；悲剧和史诗却可能诱导观众享受哀叹、愤怒、恐惧与复仇。人在现实生活中以克制为荣，在剧场中却可能反复认同失控情感。审美经验由此成为习惯的排练场，私人感受最终会沉淀为城邦性格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因此，柏拉图既审查故事内容，也审查模仿方式。神与英雄若被描绘成欺骗、争斗和放纵欲望，青年就可能把失范行为当作高贵者同样会做的事情；守卫者若长期模仿卑劣角色，也可能把角色姿态转化为自身性格。诗歌在这里是一种塑造注意力、情感与行动范型的社会技术。柏拉图并非低估艺术，恰恰是因为高度估计其力量，才要求艺术接受城邦的伦理管理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但这种管理同时暴露了柏拉图方案的限度。艺术能否进入城邦，取决于它是否再现正确对象、培养正确情感并服务正义秩序。哲学家既制定真理标准，又掌握作品准入，艺术揭示秩序盲点、表达边缘经验和试验另类生活的能力便被压缩。柏拉图正确地指出艺术自由不意味着艺术没有后果，却过快地从“艺术有后果”推导出“哲学权威可以预先决定艺术内容”。</w:t>
      </w:r>
    </w:p>
    <w:p>
      <w:pPr>
        <w:pStyle w:val="Heading2"/>
      </w:pPr>
      <w:r>
        <w:t>（三）外部正当性模式及其矛盾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柏拉图并未否定一切艺术。《理想国》仍允许赞美神和善人的诗歌，合宜的节奏与和声也参与培养勇敢和节制[1]。被排除的不是全部制作与表演，而是不服从真理和德性审查、却要求公共权威的模仿性诗歌。由此可见，柏拉图为艺术提供的是一种外部正当性：艺术自身的快感和形式不足以证明价值，它必须通过认识、教育与政治善获得许可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这种模式留下一个无法回避的难题。如果艺术完全服从已经确定的真理，它只能装饰哲学结论；如果艺术能够发现概念尚未掌握的经验，它就必须拥有一定的试验自由。柏拉图提出了艺术公共责任问题，却没有为开放解释和观众反思留下充分空间。后来的审美自治理论，正是在这一张力上寻找另一种答案。</w:t>
      </w:r>
    </w:p>
    <w:p>
      <w:pPr>
        <w:pStyle w:val="Heading1"/>
      </w:pPr>
      <w:r>
        <w:t>三、康德：无利害性与审美自治的建立</w:t>
      </w:r>
    </w:p>
    <w:p>
      <w:pPr>
        <w:pStyle w:val="Heading2"/>
      </w:pPr>
      <w:r>
        <w:t>（一）从功利与概念中释放判断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康德的转向首先发生在判断主体内部。《判断力批判》不再主要追问艺术是否正确模仿对象，而是追问审美愉快具有何种结构。康德用快适、善与美的区分说明：快适满足感官欲望，善依赖目的和概念，美的愉快则不以占有对象、实现利益或服从确定概念为前提[2]。所谓“无利害”并不是没有情感，而是感受不要求对象必须属于我、服务我或实现某个既定目的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无利害性使审美经验获得必要距离。面对对象形式，想象力提供多样表象，知性寻求统一，但两者没有被一个确定知识概念锁死。这种既有秩序又保持开放的协调，被康德称为认识能力的自由游戏。审美愉快不是对对象用途的奖赏，而是主体意识到自身能力处于自由而协调的活动状态。艺术由此不再需要首先证明自己能提供知识或道德功用，形式经验本身获得了相对独立的价值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这里的自治不是作品与现实彻底断绝关系，而是不同判断根据之间的区分。一座建筑可以同时被评价为实用、道德上合宜和形式优美，但三种评价不能相互冒充。康德为艺术划出的空间，正是不让市场价格、教育功能或政治立场直接穷尽审美价值。与柏拉图相比，艺术正当性的重心从符合外部真理，转向主体判断活动所具有的自由结构。</w:t>
      </w:r>
    </w:p>
    <w:p>
      <w:pPr>
        <w:pStyle w:val="Heading2"/>
      </w:pPr>
      <w:r>
        <w:t>（二）主观普遍性与共同感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如果审美愉快只是个人感受，审美判断便会退化为“各有所好”。但人说“这幅画是美的”时，通常不仅报告私人偏好，还期待他人能够赞同。这个要求不能靠概念证明，否则美就会成为知识属性；也不能靠统计多数建立，因为流行只是事实，不自动产生规范。康德把这种特殊结构称为主观普遍性：判断根据是主体感受，判断语气却指向所有可能的判断者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主观普遍性的根据，在于正常主体共享想象力与知性的基本结构。既然审美愉快来自这些能力的自由协调，判断者便有理由设想这种状态能够向他人传达。共同感不是社会舆论或平均趣味，而是把自己的判断放到他人可能立场上反思的能力。审美争论不会像数学证明那样终结，却也不会满足于“我喜欢就好”；人们描述形式、比较经验并邀请他人重新观看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康德由此在审美自治内部重新发现公共性。无利害性使主体暂缓私人占有，共同感则要求主体不把个人偏好直接当作普遍尺度。艺术的正当性既不来自城邦权威批准，也不是孤立天才的自我宣布，而形成于能够自由判断、相互交流并容纳分歧的公共关系中。李泽厚对康德哲学的讨论也提示，形式的主体性意义不能脱离人的实践结构来理解[7]。</w:t>
      </w:r>
    </w:p>
    <w:p>
      <w:pPr>
        <w:pStyle w:val="Heading2"/>
      </w:pPr>
      <w:r>
        <w:t>（三）自治的限度：历史与权力能否被悬置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康德理论面临的主要反驳，是实际的观看从不脱离性别、阶层、教育、文化记忆和媒介制度。谁有机会进入博物馆、掌握解释语言，并把自己的趣味说成普遍趣味，始终受到现实权力影响。若“纯粹审美”被理解为已经摆脱社会条件的事实，它就可能把特定群体的趣味伪装成普遍人性，也可能让人只欣赏苦难图像的构图而忽视其伦理内容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但这一批评否定的是无利害性的实体化解释，不必取消其规范意义。无利害性可以被理解为反思操作：暂缓占有，暴露偏爱，尝试从他人位置重审感受。它不保证主体已经摆脱全部处境，而是要求私人兴趣不能未经说明便获得公共权威。社会分析解释判断从何而来，康德式反思则追问这些来源能否直接成为正当理由。审美自治因此不是道德豁免，而是一种防止任何单一外部标准垄断艺术意义的制度与判断空间。</w:t>
      </w:r>
    </w:p>
    <w:p>
      <w:pPr>
        <w:pStyle w:val="Heading1"/>
      </w:pPr>
      <w:r>
        <w:t>四、尼采：悲剧艺术与生命的自我肯定</w:t>
      </w:r>
    </w:p>
    <w:p>
      <w:pPr>
        <w:pStyle w:val="Heading2"/>
      </w:pPr>
      <w:r>
        <w:t>（一）日神与酒神的动态关系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尼采把艺术正当性问题从判断自由进一步推向生命价值。《悲剧的诞生》以日神与酒神两种冲动解释希腊悲剧[3]。日神冲动通过梦境般的形象建立边界、比例和个体形式，使纷乱经验成为可以观看的英雄命运；酒神冲动则在音乐、陶醉与集体节庆中松动个体边界，让人感到自己与他人、自然以及生命生成过程重新联结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二者不能被缩减为理性与疯狂、秩序与混乱的静态二分。如果日神只是虚假外观，酒神才是真理，悲剧最终只需撕毁一切形象；如果酒神只是无序材料，日神负责将其驯服，理论又会退回形式对混乱的单向统治。尼采真正关心的是两种冲动如何相互需要：日神为痛苦建立可观看的面孔，酒神则让美的形式不至于把个体世界误认作全部真实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日神形式不是浅薄装饰。面对无常、冲突和死亡，人若毫无遮蔽地承受全部痛苦，生活可能失去继续的形式；酒神经验也不是廉价狂欢，它揭示生成以毁灭为条件、个体必然有限。艺术正是在显现与深渊、边界与瓦解之间工作，使人既不回避痛苦，也不被痛苦彻底压倒。</w:t>
      </w:r>
    </w:p>
    <w:p>
      <w:pPr>
        <w:pStyle w:val="Heading2"/>
      </w:pPr>
      <w:r>
        <w:t>（二）悲剧快感与生命肯定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在尼采的叙述中，希腊悲剧源于酒神合唱队，并在舞台上投射出日神式英雄形象。观众看见俄狄浦斯或普罗米修斯作为独特个体行动、受难，却又通过音乐和共同观看感到：英雄毁灭并不等于生命本身被否定。个体形式破碎，创造形式的生命力量仍在继续。悲剧快感因而不是幸灾乐祸，也不是道德报应得到满足，而是对生成整体的审美肯定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这种肯定不同于乐观主义。悲剧没有证明每一种痛苦最终都有补偿，也没有把矛盾解释为可以消除的误会。它把痛苦保留在作品内部，同时改变主体承受痛苦的方式。通过节奏、形象、音乐与共同表演，观众不再只是被动遭受事件，而能够把毁灭经验组织成具有强度的形式。艺术的“拯救”不是取消现实，而是使现实在不被美化的情况下仍可被承受和创造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尼采对苏格拉底主义的批评也应放在这里理解。他反对的不是一切思考，而是理论乐观主义把存在完全改造成可解释、可纠正对象的冲动。有些痛苦来自有限性和生成本身，不能仅靠增加知识消除。人不仅需要知道事实，还需要形成面对事实的力量。艺术的正当性由此不再主要依赖外部真理或主体判断程序，而来自它对生命承担痛苦、继续创造的贡献。</w:t>
      </w:r>
    </w:p>
    <w:p>
      <w:pPr>
        <w:pStyle w:val="Heading2"/>
      </w:pPr>
      <w:r>
        <w:t>（三）生命肯定的危险边界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生命肯定同样可能被误用。如果艺术把一切痛苦转化为审美快感，就可能削弱改变不公现实的意愿；如果不区分自然有限性与制度制造的伤害，“肯定痛苦”甚至会要求受苦者接受本可避免的压迫。酒神式集体陶醉也可能被政治力量利用，使个人判断淹没在统一激情中。周国平对尼采思想的阐释强调其面对虚无主义的生命意义，但这一意义仍需要伦理限制作边界[8]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因此，审美转化不能替代责任判断。疾病、死亡等不可完全消除的有限性，与战争、歧视和压迫等人为伤害必须区分。艺术能够让经验变得可承受，并不免除追查原因和改变制度的义务。经过这一限制，尼采的命题可以被重新表述为：改变能够改变的痛苦，同时为不能彻底消除的有限性创造形式。</w:t>
      </w:r>
    </w:p>
    <w:p>
      <w:pPr>
        <w:pStyle w:val="Heading1"/>
      </w:pPr>
      <w:r>
        <w:t>五、三种艺术正当性的比较</w:t>
      </w:r>
    </w:p>
    <w:p>
      <w:pPr>
        <w:pStyle w:val="Heading2"/>
      </w:pPr>
      <w:r>
        <w:t>（一）正当性根据：真理、主体与生命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柏拉图、康德与尼采的首要差别，在于艺术价值从哪里获得最终根据。柏拉图把真与善置于艺术之外和艺术之上，作品必须证明自己不会以幻象取代知识、不会以情感破坏灵魂秩序。康德把根据转入主体判断的形式：当愉快不受私人欲望和确定概念支配，并能够要求公共交流时，审美经验获得相对自治。尼采则进一步追问，即使世界包含不可消除的痛苦，艺术能否使生命仍值得肯定；正当性于是落在艺术创造和承受生命的能力上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可以把这一变化概括为从外部规范、经过主体自治、走向生命论根据，但不能把它写成简单的进步史。康德并没有证明艺术不产生政治后果，尼采也没有使真理和公共判断失效。柏拉图提出的情感塑造问题会在现代媒介中重新出现，康德提出的可交流性能够限制酒神激情的封闭，尼采关于痛苦的洞察又提醒康德，审美自由不仅是判断程序，也关乎主体是否拥有面对存在的力量。三者是相互纠正，而不是后者淘汰前者。</w:t>
      </w:r>
    </w:p>
    <w:p>
      <w:pPr>
        <w:pStyle w:val="Heading2"/>
      </w:pPr>
      <w:r>
        <w:t>（二）艺术与共同体：规训、交流与共同参与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三家都没有把审美经验理解为纯粹私人事件。柏拉图看到诗歌通过模仿和重复训练共同体情感，因此以城邦秩序管理艺术；康德以共同感说明个人判断包含向所有他人开放的要求，公共性表现为相互说服而非行政命令；尼采的悲剧则依赖合唱、音乐和集体观看，使孤立个体在共同参与中体验超出自身的生命力量。共同体在三家那里分别呈现为被教育的城邦、相互交流的判断者与共享节奏的参与者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三种共同体模型各有风险。规训型共同体容易由保护滑向审查，交流型共同体可能把现实中的文化权力误认作平等对话，参与型共同体则可能在情感融合中压制个体反思。因此，成熟的艺术公共性需要同时满足三个条件：承认作品的社会后果，保障不同主体平等表达与解释，并为强烈共同体验保留退出和批判的空间。</w:t>
      </w:r>
    </w:p>
    <w:p>
      <w:pPr>
        <w:pStyle w:val="Heading2"/>
      </w:pPr>
      <w:r>
        <w:t>（三）核心反驳：这是否是一条虚构的线性转向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把三位哲学家并置，最有力的反驳是：他们讨论的对象并不相同。柏拉图关注城邦教育和诗歌权威，康德分析审美判断的先验条件，尼采以悲剧谱系诊断现代文化。如果强行把三者排列成同一道路，就会抹平问题语境，也可能把“艺术自治”误认为历史必然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这一反驳要求限定比较的尺度。本文并不声称三家共同使用一个艺术概念，也不把思想史描述为不断摆脱束缚的胜利过程。比较的依据只是他们都回答了一个可转换的问题：艺术价值不能由其存在事实自动推出，那么它凭什么要求个人与共同体为之保留空间？在这一问题层次上，三种回答具有可比性；而语境差异恰好说明，艺术正当性不是一次完成的证明，而会随知识制度、主体观和生命经验的变化重新组织。</w:t>
      </w:r>
    </w:p>
    <w:p>
      <w:pPr>
        <w:pStyle w:val="Heading1"/>
      </w:pPr>
      <w:r>
        <w:t>六、当代反思：在责任、自由与生命力量之间</w:t>
      </w:r>
    </w:p>
    <w:p>
      <w:pPr>
        <w:pStyle w:val="Heading2"/>
      </w:pPr>
      <w:r>
        <w:t>（一）算法媒介中的三重问题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算法推荐和注意力经济使三家的问题在同一媒介环境中重新相遇。平台以点击、停留和购买预测偏好，把审美愉快迅速转化为行为数据；作品借视听形式安排注意力和欲望，又可能在传播规模扩大后塑造公共情绪。柏拉图关于形式感染与城邦教育的担忧因此并未过时，但若据此把平台治理等同于哲学家审查，就会忽略权力本身也需要接受公共检验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康德的无利害性在此提供必要距离：对象是否值得观看，不等于它是否最能迎合既有欲望，播放量也不能自动证明审美价值。共同感则要求推荐、评价和批评能够给出超出私人偏好的理由，并对不同经验保持开放。尼采的理论进一步提醒，艺术不只是信息和品味，它还组织人面对失败、创伤与有限性的情感能力。一个只会提高愉悦效率的系统，可能反而削弱艺术处理矛盾与痛苦的功能。</w:t>
      </w:r>
    </w:p>
    <w:p>
      <w:pPr>
        <w:pStyle w:val="Heading2"/>
      </w:pPr>
      <w:r>
        <w:t>（二）艺术正当性的三层标准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综合三家，可以提出一个非排他的三层框架。第一层是责任：作品及其传播机制必须能够接受对欺骗、伤害和权力后果的追问，但责任不能直接退化为预先审查。第二层是自由：作品与判断需要保留不被市场、政治口号和既定概念完全规定的空间，观众也应拥有解释与反驳的资格。第三层是生命力量：艺术应当扩展人感受、承受和重组经验的能力，而不是仅把刺激转化为消费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三层标准之间不存在自动和谐。强调责任可能压缩试验自由，强调自治可能遮蔽现实后果，强调生命强度又可能浪漫化伤害。艺术正当性因此不是达到某项指标后的永久证书，而是一种持续辩论的结构：作品、制度与公众必须反复说明，为什么这种形式值得占用共同注意力，它为哪些人打开了经验，又让哪些人承担了代价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这种结论比“艺术为艺术”或“艺术服务社会”的单一口号更严格。它既拒绝以正确立场替代审美创造，也拒绝以创造自由取消公共责任；既承认痛苦可以被艺术转化，又坚持可避免的伤害必须被改变。艺术之所以值得，不是因为它永远正确或永远有用，而是因为它能在不确定中保存判断、想象和重新生活的可能。</w:t>
      </w:r>
    </w:p>
    <w:p>
      <w:pPr>
        <w:pStyle w:val="Heading1"/>
      </w:pPr>
      <w:r>
        <w:t>七、结语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柏拉图、康德与尼采分别把艺术置于真理秩序、审美判断和生命生成之中。柏拉图揭示艺术形式会塑造灵魂与共同体，却以哲学权威压缩了艺术发现未知经验的空间；康德通过无利害性、自由游戏和共同感建立审美自治，却需要社会历史批评纠正抽象主体的局限；尼采把艺术理解为直面痛苦、肯定生命的力量，却必须防止生命肯定滑向对具体伤害的浪漫化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三种理论共同表明，艺术正当性不能被一次性解决。艺术既不是只需服从真理的装饰，也不是不问后果的自治孤岛，更不是强度越高便越有价值的生命狂欢。它需要在公共责任、判断自由与生命创造之间保持张力。真正值得维护的艺术空间，应当允许作品挑战已经确定的秩序，允许公众以可交流的方式判断，也允许人在无法完全消除的痛苦面前创造新的感受和行动形式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>因此，从柏拉图到康德再到尼采，并不是诗人终于摆脱一切约束的故事，而是艺术被要求以不同方式说明自身的思想史。今日继续追问“艺术何以值得”，不是要寻找一个终极许可证，而是要建立一种不会轻易放弃责任、自由和生命复杂性的公共判断能力。</w:t>
      </w:r>
    </w:p>
    <w:p>
      <w:pPr>
        <w:pStyle w:val="Heading1"/>
      </w:pPr>
      <w:r>
        <w:t>参考文献</w:t>
      </w:r>
    </w:p>
    <w:p>
      <w:pPr>
        <w:spacing w:after="60" w:line="300" w:lineRule="auto"/>
        <w:ind w:left="440" w:hanging="440"/>
      </w:pPr>
      <w:r>
        <w:rPr>
          <w:rFonts w:ascii="Times New Roman" w:hAnsi="Times New Roman" w:eastAsia="宋体"/>
          <w:color w:val="000000"/>
          <w:sz w:val="21"/>
        </w:rPr>
        <w:t>[1] 柏拉图. 理想国[M]. 郭斌和, 张竹明, 译. 北京: 商务印书馆, 1986.</w:t>
      </w:r>
    </w:p>
    <w:p>
      <w:pPr>
        <w:spacing w:after="60" w:line="300" w:lineRule="auto"/>
        <w:ind w:left="440" w:hanging="440"/>
      </w:pPr>
      <w:r>
        <w:rPr>
          <w:rFonts w:ascii="Times New Roman" w:hAnsi="Times New Roman" w:eastAsia="宋体"/>
          <w:color w:val="000000"/>
          <w:sz w:val="21"/>
        </w:rPr>
        <w:t>[2] 康德. 判断力批判[M]. 邓晓芒, 译. 杨祖陶, 校. 北京: 人民出版社, 2002.</w:t>
      </w:r>
    </w:p>
    <w:p>
      <w:pPr>
        <w:spacing w:after="60" w:line="300" w:lineRule="auto"/>
        <w:ind w:left="440" w:hanging="440"/>
      </w:pPr>
      <w:r>
        <w:rPr>
          <w:rFonts w:ascii="Times New Roman" w:hAnsi="Times New Roman" w:eastAsia="宋体"/>
          <w:color w:val="000000"/>
          <w:sz w:val="21"/>
        </w:rPr>
        <w:t>[3] 尼采. 悲剧的诞生[M]. 周国平, 译. 北京: 生活·读书·新知三联书店, 1986.</w:t>
      </w:r>
    </w:p>
    <w:p>
      <w:pPr>
        <w:spacing w:after="60" w:line="300" w:lineRule="auto"/>
        <w:ind w:left="440" w:hanging="440"/>
      </w:pPr>
      <w:r>
        <w:rPr>
          <w:rFonts w:ascii="Times New Roman" w:hAnsi="Times New Roman" w:eastAsia="宋体"/>
          <w:color w:val="000000"/>
          <w:sz w:val="21"/>
        </w:rPr>
        <w:t>[4] 朱光潜. 西方美学史[M]. 北京: 人民文学出版社, 1979.</w:t>
      </w:r>
    </w:p>
    <w:p>
      <w:pPr>
        <w:spacing w:after="60" w:line="300" w:lineRule="auto"/>
        <w:ind w:left="440" w:hanging="440"/>
      </w:pPr>
      <w:r>
        <w:rPr>
          <w:rFonts w:ascii="Times New Roman" w:hAnsi="Times New Roman" w:eastAsia="宋体"/>
          <w:color w:val="000000"/>
          <w:sz w:val="21"/>
        </w:rPr>
        <w:t>[5] 叶朗. 美学原理[M]. 北京: 北京大学出版社, 2009.</w:t>
      </w:r>
    </w:p>
    <w:p>
      <w:pPr>
        <w:spacing w:after="60" w:line="300" w:lineRule="auto"/>
        <w:ind w:left="440" w:hanging="440"/>
      </w:pPr>
      <w:r>
        <w:rPr>
          <w:rFonts w:ascii="Times New Roman" w:hAnsi="Times New Roman" w:eastAsia="宋体"/>
          <w:color w:val="000000"/>
          <w:sz w:val="21"/>
        </w:rPr>
        <w:t>[6] 章安祺. 西方文艺理论史精读文献[M]. 北京: 中国人民大学出版社, 2003.</w:t>
      </w:r>
    </w:p>
    <w:p>
      <w:pPr>
        <w:spacing w:after="60" w:line="300" w:lineRule="auto"/>
        <w:ind w:left="440" w:hanging="440"/>
      </w:pPr>
      <w:r>
        <w:rPr>
          <w:rFonts w:ascii="Times New Roman" w:hAnsi="Times New Roman" w:eastAsia="宋体"/>
          <w:color w:val="000000"/>
          <w:sz w:val="21"/>
        </w:rPr>
        <w:t>[7] 李泽厚. 批判哲学的批判: 康德述评[M]. 北京: 人民出版社, 1979.</w:t>
      </w:r>
    </w:p>
    <w:p>
      <w:pPr>
        <w:spacing w:after="60" w:line="300" w:lineRule="auto"/>
        <w:ind w:left="440" w:hanging="440"/>
      </w:pPr>
      <w:r>
        <w:rPr>
          <w:rFonts w:ascii="Times New Roman" w:hAnsi="Times New Roman" w:eastAsia="宋体"/>
          <w:color w:val="000000"/>
          <w:sz w:val="21"/>
        </w:rPr>
        <w:t>[8] 周国平. 尼采: 在世纪的转折点上[M]. 上海: 上海人民出版社, 1986.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587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4646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eastAsia="宋体"/>
        <w:color w:val="6E6E6E"/>
        <w:sz w:val="18"/>
      </w:rPr>
      <w:t>艺术正当性思想比较研究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艺术何以获得正当性——从柏拉图的真理秩序、康德的审美自治到尼采的生命肯定</dc:title>
  <dc:subject>西方美学课程论文</dc:subject>
  <dc:creator/>
  <cp:keywords>艺术正当性, 柏拉图, 康德, 尼采, 审美自治, 生命肯定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