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IND APPLICATION: IND Application: IND Application: Sample_Drug</w:t>
      </w:r>
    </w:p>
    <w:p>
      <w:pPr>
        <w:pStyle w:val="Heading2"/>
      </w:pPr>
      <w:r>
        <w:t>Section 1: Cover Page (FDA Form 1571)</w:t>
      </w:r>
    </w:p>
    <w:p>
      <w:r>
        <w:t>**DEPARTMENT OF HEALTH AND HUMAN SERVICES**</w:t>
      </w:r>
    </w:p>
    <w:p>
      <w:r>
        <w:t>**FOOD AND DRUG ADMINISTRATION**</w:t>
      </w:r>
    </w:p>
    <w:p>
      <w:r>
        <w:t>**CENTER FOR DRUG EVALUATION AND RESEARCH**</w:t>
      </w:r>
    </w:p>
    <w:p>
      <w:r>
        <w:t>**INVESTIGATIONAL NEW DRUG APPLICATION (IND)**</w:t>
      </w:r>
    </w:p>
    <w:p>
      <w:r>
        <w:t>| Field | Detail |</w:t>
      </w:r>
    </w:p>
    <w:p>
      <w:r>
        <w:t>|:---|:---|</w:t>
      </w:r>
    </w:p>
    <w:p>
      <w:r>
        <w:t>| **Applicant Information** | |</w:t>
      </w:r>
    </w:p>
    <w:p>
      <w:r>
        <w:t>| Name | Economy Park |</w:t>
      </w:r>
    </w:p>
    <w:p>
      <w:r>
        <w:t>| Address | Incheon, Jung-Gu |</w:t>
      </w:r>
    </w:p>
    <w:p>
      <w:r>
        <w:t>| Phone | 01012345678 |</w:t>
      </w:r>
    </w:p>
    <w:p>
      <w:r>
        <w:t>| Application Date | 2026-02-09 |</w:t>
      </w:r>
    </w:p>
    <w:p>
      <w:r>
        <w:t>| **Drug Identification** | |</w:t>
      </w:r>
    </w:p>
    <w:p>
      <w:r>
        <w:t>| Drug Name | IND Application: IND Application: Sample_Drug |</w:t>
      </w:r>
    </w:p>
    <w:p>
      <w:r>
        <w:t>| Drug Class | Small Molecule |</w:t>
      </w:r>
    </w:p>
    <w:p>
      <w:r>
        <w:t>| Therapeutic Indication | Oncology |</w:t>
      </w:r>
    </w:p>
    <w:p>
      <w:r>
        <w:t>| **Clinical Phase** | |</w:t>
      </w:r>
    </w:p>
    <w:p>
      <w:r>
        <w:t>| Phase | Phase 1 |</w:t>
      </w:r>
    </w:p>
    <w:p>
      <w:r>
        <w:t>| **Sponsor Commitments (21 CFR 312.23)** | |</w:t>
      </w:r>
    </w:p>
    <w:p>
      <w:r>
        <w:t>| Commitment | The sponsor commits to conducting the investigation in compliance with all applicable regulatory requirements, including 21 CFR Part 312 and 21 CFR Part 50 (Informed Consent) and 21 CFR Part 56 (Institutional Review Boards). |</w:t>
      </w:r>
    </w:p>
    <w:p>
      <w:r>
        <w:t>| Commitment | The sponsor commits to promptly reporting all adverse experiences that meet the criteria for an unanticipated adverse device effect or serious adverse event. |</w:t>
      </w:r>
    </w:p>
    <w:p>
      <w:r>
        <w:t>| Commitment | The sponsor commits to not beginning a clinical investigation until 30 days after FDA's receipt of the IND, or until FDA has notified the sponsor that the investigation may proceed. |</w:t>
      </w:r>
    </w:p>
    <w:p>
      <w:pPr>
        <w:pStyle w:val="Heading2"/>
      </w:pPr>
      <w:r>
        <w:t>Section 2: Introduction and General Investigational Plan</w:t>
      </w:r>
    </w:p>
    <w:p>
      <w:r>
        <w:t>**Cover Sheet: Drug Summary**</w:t>
      </w:r>
    </w:p>
    <w:p>
      <w:r>
        <w:t>| Field | Detail |</w:t>
      </w:r>
    </w:p>
    <w:p>
      <w:r>
        <w:t>|:---|:---|</w:t>
      </w:r>
    </w:p>
    <w:p>
      <w:r>
        <w:t>| Drug Name | IND Application: IND Application: Sample_Drug |</w:t>
      </w:r>
    </w:p>
    <w:p>
      <w:r>
        <w:t>| Drug Class | Small Molecule |</w:t>
      </w:r>
    </w:p>
    <w:p>
      <w:r>
        <w:t>| Indication | Oncology |</w:t>
      </w:r>
    </w:p>
    <w:p>
      <w:r>
        <w:t>| Proposed Dose | 100.0 mg QD |</w:t>
      </w:r>
    </w:p>
    <w:p>
      <w:r>
        <w:t>| Phase | Phase 1 |</w:t>
      </w:r>
    </w:p>
    <w:p>
      <w:r>
        <w:t>| Enrollment | 30 patients |</w:t>
      </w:r>
    </w:p>
    <w:p>
      <w:r>
        <w:t>| Duration | 12 weeks |</w:t>
      </w:r>
    </w:p>
    <w:p>
      <w:r>
        <w:t>**Introductory Statement with Scientific Rationale**</w:t>
      </w:r>
    </w:p>
    <w:p>
      <w:r>
        <w:t>IND Application: IND Application: Sample_Drug is a novel small molecule proposed for the treatment of oncology. Computational analysis suggests its chemical structure, CCOc1ccc(cc1)C(=O)N2CCC(CC2)c3c[nH]c4c3cccc4, may interact with targets relevant to cancer progression, though the precise mechanism of action is currently [Mechanism of Action - To Be Determined]. This IND application seeks to initiate a Phase 1 clinical trial to evaluate the safety, tolerability, and pharmacokinetics of IND Application: IND Application: Sample_Drug in adult patients with advanced solid tumors.</w:t>
      </w:r>
    </w:p>
    <w:p>
      <w:r>
        <w:t>**Research Justification Based on Indication**</w:t>
      </w:r>
    </w:p>
    <w:p>
      <w:r>
        <w:t>The significant unmet medical need in oncology necessitates the development of novel therapeutic agents. IND Application: IND Application: Sample_Drug represents a new chemical entity with a predicted low overall risk profile based on in-silico toxicology assessments. The proposed Phase 1 study is designed to gather initial human safety and pharmacokinetic data to support further clinical development in oncology.</w:t>
      </w:r>
    </w:p>
    <w:p>
      <w:r>
        <w:t>**General Approach to Evaluation**</w:t>
      </w:r>
    </w:p>
    <w:p>
      <w:r>
        <w:t>The initial evaluation of IND Application: IND Application: Sample_Drug will proceed through a Phase 1 clinical trial. This study will primarily focus on establishing the safety profile, characterizing the pharmacokinetic properties, and identifying a maximum tolerated dose (MTD) or a recommended Phase 2 dose (RP2D). Subsequent phases of development will investigate efficacy in specific oncology indications.</w:t>
      </w:r>
    </w:p>
    <w:p>
      <w:r>
        <w:t>**First-Year Study Summary**</w:t>
      </w:r>
    </w:p>
    <w:p>
      <w:r>
        <w:t>The first year of investigation will involve a single Phase 1, open-label, dose-escalation study in approximately 30 adult patients with advanced solid tumors. The study duration for each patient is anticipated to be 12 weeks. The primary endpoints will include the incidence and severity of adverse events, dose-limiting toxicities, and pharmacokinetic parameters.</w:t>
      </w:r>
    </w:p>
    <w:p>
      <w:r>
        <w:t>**Risk Assessment Based on Computational Predictions**</w:t>
      </w:r>
    </w:p>
    <w:p>
      <w:r>
        <w:t>In-silico toxicology assessments using QSAR models indicate no significant risks. Specifically, computational analysis predicts a low hepatotoxicity risk based on structural alert analysis and a negative genotoxicity (Ames) prediction. The hERG IC50 safety margin is computationally predicted to be 30.0x, which is considered acceptable. The overall risk score is computationally assessed at 75.0/100, suggesting a low overall risk profile for IND Application: IND Application: Sample_Drug.</w:t>
      </w:r>
    </w:p>
    <w:p>
      <w:pPr>
        <w:pStyle w:val="Heading2"/>
      </w:pPr>
      <w:r>
        <w:t>Section 3: Clinical Protocol</w:t>
      </w:r>
    </w:p>
    <w:p>
      <w:r>
        <w:t>**Protocol Title:** A Phase 1, Open-Label, Dose-Escalation Study to Evaluate the Safety, Tolerability, and Pharmacokinetics of IND Application: IND Application: Sample_Drug in Adult Patients with Advanced Solid Tumors.</w:t>
      </w:r>
    </w:p>
    <w:p>
      <w:r>
        <w:t>**Protocol Synopsis Table**</w:t>
      </w:r>
    </w:p>
    <w:p>
      <w:r>
        <w:t>| Field | Detail |</w:t>
      </w:r>
    </w:p>
    <w:p>
      <w:r>
        <w:t>|:---|:---|</w:t>
      </w:r>
    </w:p>
    <w:p>
      <w:r>
        <w:t>| Drug Name | IND Application: IND Application: Sample_Drug |</w:t>
      </w:r>
    </w:p>
    <w:p>
      <w:r>
        <w:t>| Phase | Phase 1 |</w:t>
      </w:r>
    </w:p>
    <w:p>
      <w:r>
        <w:t>| Indication | Advanced Solid Tumors (Oncology) |</w:t>
      </w:r>
    </w:p>
    <w:p>
      <w:r>
        <w:t>| Study Design | Open-label, Dose-escalation |</w:t>
      </w:r>
    </w:p>
    <w:p>
      <w:r>
        <w:t>| Target Enrollment | 30 patients |</w:t>
      </w:r>
    </w:p>
    <w:p>
      <w:r>
        <w:t>| Study Duration | 12 weeks per patient |</w:t>
      </w:r>
    </w:p>
    <w:p>
      <w:r>
        <w:t>| Proposed Dose | 100.0 mg |</w:t>
      </w:r>
    </w:p>
    <w:p>
      <w:r>
        <w:t>| Dosing Regimen | QD (Once Daily) |</w:t>
      </w:r>
    </w:p>
    <w:p>
      <w:r>
        <w:t>| Primary Endpoints | Safety (AEs, DLTs), PK |</w:t>
      </w:r>
    </w:p>
    <w:p>
      <w:r>
        <w:t>| Secondary Endpoints | Preliminary Efficacy |</w:t>
      </w:r>
    </w:p>
    <w:p>
      <w:r>
        <w:t>**Primary Objectives**</w:t>
      </w:r>
    </w:p>
    <w:p>
      <w:r>
        <w:t>1.  To assess the safety and tolerability of IND Application: IND Application: Sample_Drug in adult patients with advanced solid tumors.</w:t>
      </w:r>
    </w:p>
    <w:p>
      <w:r>
        <w:t>2.  To determine the dose-limiting toxicities (DLTs) and the maximum tolerated dose (MTD) or recommended Phase 2 dose (RP2D) of IND Application: IND Application: Sample_Drug.</w:t>
      </w:r>
    </w:p>
    <w:p>
      <w:r>
        <w:t>3.  To characterize the pharmacokinetic profile of IND Application: IND Application: Sample_Drug following single and multiple oral doses.</w:t>
      </w:r>
    </w:p>
    <w:p>
      <w:r>
        <w:t>**Secondary Objectives**</w:t>
      </w:r>
    </w:p>
    <w:p>
      <w:r>
        <w:t>1.  To evaluate preliminary anti-tumor activity of IND Application: IND Application: Sample_Drug.</w:t>
      </w:r>
    </w:p>
    <w:p>
      <w:r>
        <w:t>2.  To explore potential pharmacodynamic biomarkers.</w:t>
      </w:r>
    </w:p>
    <w:p>
      <w:r>
        <w:t>**Investigator Information**</w:t>
      </w:r>
    </w:p>
    <w:p>
      <w:r>
        <w:t>| Field | Detail |</w:t>
      </w:r>
    </w:p>
    <w:p>
      <w:r>
        <w:t>|:---|:---|</w:t>
      </w:r>
    </w:p>
    <w:p>
      <w:r>
        <w:t>| Principal Investigator | Dr. Hazel Jung |</w:t>
      </w:r>
    </w:p>
    <w:p>
      <w:r>
        <w:t>| Credentials | PM |</w:t>
      </w:r>
    </w:p>
    <w:p>
      <w:r>
        <w:t>| Institution | Ground21 |</w:t>
      </w:r>
    </w:p>
    <w:p>
      <w:r>
        <w:t>| Institution Address | Incheon, Gyeyang |</w:t>
      </w:r>
    </w:p>
    <w:p>
      <w:r>
        <w:t>| IRB/Ethics Committee | Booooooard |</w:t>
      </w:r>
    </w:p>
    <w:p>
      <w:r>
        <w:t>**Patient Selection Criteria**</w:t>
      </w:r>
    </w:p>
    <w:p>
      <w:r>
        <w:t>**Inclusion Criteria:**</w:t>
      </w:r>
    </w:p>
    <w:p>
      <w:r>
        <w:t>1.  Adult patients, male or female, ≥ 18 years of age.</w:t>
      </w:r>
    </w:p>
    <w:p>
      <w:r>
        <w:t>2.  Histologically or cytologically confirmed advanced solid tumor that is metastatic or unresectable and for which standard curative or life-prolonging therapy does not exist or is no longer effective.</w:t>
      </w:r>
    </w:p>
    <w:p>
      <w:r>
        <w:t>3.  Measurable disease, as defined by RECIST v1.1.</w:t>
      </w:r>
    </w:p>
    <w:p>
      <w:r>
        <w:t>4.  Eastern Cooperative Oncology Group (ECOG) performance status of 0 or 1.</w:t>
      </w:r>
    </w:p>
    <w:p>
      <w:r>
        <w:t>5.  Adequate organ function as defined by:</w:t>
      </w:r>
    </w:p>
    <w:p>
      <w:r>
        <w:t>*   Absolute neutrophil count (ANC) ≥ 1.5 x 10^9/L.</w:t>
      </w:r>
    </w:p>
    <w:p>
      <w:r>
        <w:t>*   Platelets ≥ 100 x 10^9/L.</w:t>
      </w:r>
    </w:p>
    <w:p>
      <w:r>
        <w:t>*   Hemoglobin ≥ 9.0 g/dL.</w:t>
      </w:r>
    </w:p>
    <w:p>
      <w:r>
        <w:t>*   Total bilirubin ≤ 1.5 x upper limit of normal (ULN) (≤ 3.0 x ULN for patients with Gilbert's syndrome).</w:t>
      </w:r>
    </w:p>
    <w:p>
      <w:r>
        <w:t>*   Aspartate aminotransferase (AST) and Alanine aminotransferase (ALT) ≤ 2.5 x ULN (≤ 5 x ULN for patients with liver metastases).</w:t>
      </w:r>
    </w:p>
    <w:p>
      <w:r>
        <w:t>*   Serum creatinine ≤ 1.5 x ULN or creatinine clearance ≥ 60 mL/min.</w:t>
      </w:r>
    </w:p>
    <w:p>
      <w:r>
        <w:t>6.  Life expectancy of at least 3 months.</w:t>
      </w:r>
    </w:p>
    <w:p>
      <w:r>
        <w:t>7.  Ability to understand and willingness to sign a written informed consent form.</w:t>
      </w:r>
    </w:p>
    <w:p>
      <w:r>
        <w:t>**Exclusion Criteria:**</w:t>
      </w:r>
    </w:p>
    <w:p>
      <w:r>
        <w:t>1.  Prior anti-cancer therapy (chemotherapy, radiation, immunotherapy, or investigational agents) within 4 weeks or 5 half-lives (whichever is shorter) prior to the first dose of study drug.</w:t>
      </w:r>
    </w:p>
    <w:p>
      <w:r>
        <w:t>2.  Known active central nervous system (CNS) metastases or leptomeningeal disease.</w:t>
      </w:r>
    </w:p>
    <w:p>
      <w:r>
        <w:t>3.  Significant cardiovascular disease (e.g., uncontrolled hypertension, unstable angina, myocardial infarction within 6 months, New York Heart Association Class III or IV congestive heart failure).</w:t>
      </w:r>
    </w:p>
    <w:p>
      <w:r>
        <w:t>4.  Active, uncontrolled infection requiring systemic therapy.</w:t>
      </w:r>
    </w:p>
    <w:p>
      <w:r>
        <w:t>5.  Known history of human immunodeficiency virus (HIV) infection, active hepatitis B, or hepatitis C infection.</w:t>
      </w:r>
    </w:p>
    <w:p>
      <w:r>
        <w:t>6.  Pregnant or breastfeeding women. Women of childbearing potential and fertile men must agree to use highly effective contraception during the study and for a specified period after the last dose.</w:t>
      </w:r>
    </w:p>
    <w:p>
      <w:r>
        <w:t>7.  Any other severe acute or chronic medical condition or laboratory abnormality that, in the opinion of the investigator, would make the patient unsuitable for the study.</w:t>
      </w:r>
    </w:p>
    <w:p>
      <w:r>
        <w:t>**Study Design**</w:t>
      </w:r>
    </w:p>
    <w:p>
      <w:r>
        <w:t>This will be an open-label, non-randomized, dose-escalation study. Patients will be enrolled into sequential cohorts, with increasing doses of IND Application: IND Application: Sample_Drug. A 3+3 dose escalation design is anticipated. The initial dose will be determined based on non-clinical toxicology data and in-silico PK predictions.</w:t>
      </w:r>
    </w:p>
    <w:p>
      <w:r>
        <w:t>**Dosing Regimen with Justification from PK Predictions**</w:t>
      </w:r>
    </w:p>
    <w:p>
      <w:r>
        <w:t>The proposed starting dose for IND Application: IND Application: Sample_Drug is 100.0 mg administered orally once daily (QD). This dose is selected based on in-silico mPBPK model predictions suggesting a Cmax of 1500.0 ng/mL and an AUC (0-∞) of 25000.0 ng·h/mL. A terminal half-life of 12.0 hours computationally predicts that once-daily dosing should maintain consistent drug exposure. This regimen is hypothesized to achieve therapeutic exposure while maintaining an acceptable safety margin, as indicated by the low overall risk score from computational toxicology assessments.</w:t>
      </w:r>
    </w:p>
    <w:p>
      <w:r>
        <w:t>**Safety Monitoring Plan Based on Identified Risks**</w:t>
      </w:r>
    </w:p>
    <w:p>
      <w:r>
        <w:t>Safety will be monitored continuously throughout the study.</w:t>
      </w:r>
    </w:p>
    <w:p>
      <w:r>
        <w:t>1.  **Adverse Events (AEs):** All AEs will be collected, graded according to CTCAE v5.0, and reported. Special attention will be paid to potential hepatotoxicity, given the general risk associated with novel small molecules, although computational analysis predicts a low risk for IND Application: IND Application: Sample_Drug.</w:t>
      </w:r>
    </w:p>
    <w:p>
      <w:r>
        <w:t>2.  **Clinical Laboratory Tests:** Hematology, serum chemistry (including liver and renal function tests), and urinalysis will be performed at screening, baseline, weekly during the first cycle, and at the start of each subsequent cycle.</w:t>
      </w:r>
    </w:p>
    <w:p>
      <w:r>
        <w:t>3.  **Electrocardiograms (ECGs):** ECGs will be performed at screening, baseline, and at specified time points during the study to monitor for cardiac abnormalities, particularly QT prolongation, given the hERG safety margin prediction.</w:t>
      </w:r>
    </w:p>
    <w:p>
      <w:r>
        <w:t>4.  **Vital Signs and Physical Examinations:** Performed at each study visit.</w:t>
      </w:r>
    </w:p>
    <w:p>
      <w:r>
        <w:t>5.  **Dose-Limiting Toxicities (DLTs):** DLTs will be assessed during the first 28 days of treatment.</w:t>
      </w:r>
    </w:p>
    <w:p>
      <w:r>
        <w:t>6.  **Precautionary Measures:** Patients will be monitored for signs and symptoms of organ toxicity. Dose modifications or interruptions will be implemented as per protocol-defined criteria for managing adverse events.</w:t>
      </w:r>
    </w:p>
    <w:p>
      <w:r>
        <w:t>**Efficacy Assessments**</w:t>
      </w:r>
    </w:p>
    <w:p>
      <w:r>
        <w:t>Preliminary efficacy will be assessed in patients with measurable disease according to RECIST v1.1 criteria. Tumor assessments (e.g., CT scans, MRI) will be performed at screening, every 6 weeks during treatment, and at the end of treatment.</w:t>
      </w:r>
    </w:p>
    <w:p>
      <w:r>
        <w:t>**Statistical Considerations**</w:t>
      </w:r>
    </w:p>
    <w:p>
      <w:r>
        <w:t>Given the Phase 1 nature of this study, statistical analyses will primarily be descriptive.</w:t>
      </w:r>
    </w:p>
    <w:p>
      <w:r>
        <w:t>1.  **Safety:** Incidence, severity, and relatedness of AEs, DLTs, and laboratory abnormalities will be summarized using descriptive statistics.</w:t>
      </w:r>
    </w:p>
    <w:p>
      <w:r>
        <w:t>2.  **Pharmacokinetics:** PK parameters (Cmax, AUC, T1/2, Vd) will be calculated using non-compartmental analysis and summarized using descriptive statistics.</w:t>
      </w:r>
    </w:p>
    <w:p>
      <w:r>
        <w:t>3.  **Efficacy:** Objective response rate (ORR), disease control rate (DCR), and duration of response (DOR) will be summarized descriptively.</w:t>
      </w:r>
    </w:p>
    <w:p>
      <w:pPr>
        <w:pStyle w:val="Heading2"/>
      </w:pPr>
      <w:r>
        <w:t>Section 5: Investigator's Brochure</w:t>
      </w:r>
    </w:p>
    <w:p>
      <w:r>
        <w:t>**Drug Name:** IND Application: IND Application: Sample_Drug</w:t>
      </w:r>
    </w:p>
    <w:p>
      <w:r>
        <w:t>**1. Drug Substance Description**</w:t>
      </w:r>
    </w:p>
    <w:p>
      <w:r>
        <w:t>IND Application: IND Application: Sample_Drug is a novel small molecule with the chemical structure represented by the SMILES string: CCOc1ccc(cc1)C(=O)N2CCC(CC2)c3c[nH]c4c3cccc4. It is intended for oral administration.</w:t>
      </w:r>
    </w:p>
    <w:p>
      <w:r>
        <w:t>**2. Pharmacology Summary**</w:t>
      </w:r>
    </w:p>
    <w:p>
      <w:r>
        <w:t>IND Application: IND Application: Sample_Drug is a small molecule drug candidate. Its therapeutic indication is oncology. The precise mechanism of action is currently [Mechanism of Action - To Be Determined]. Further studies are planned to elucidate the specific molecular targets and pathways involved.</w:t>
      </w:r>
    </w:p>
    <w:p>
      <w:r>
        <w:t>**3. Pharmacokinetics Summary**</w:t>
      </w:r>
    </w:p>
    <w:p>
      <w:r>
        <w:t>Pharmacokinetic properties of IND Application: IND Application: Sample_Drug have been computationally predicted using an mPBPK model.</w:t>
      </w:r>
    </w:p>
    <w:p>
      <w:r>
        <w:t>| Parameter | Predicted Value | Unit |</w:t>
      </w:r>
    </w:p>
    <w:p>
      <w:r>
        <w:t>|:---|:---|:---|</w:t>
      </w:r>
    </w:p>
    <w:p>
      <w:r>
        <w:t>| Cmax | 1500.0 | ng/mL |</w:t>
      </w:r>
    </w:p>
    <w:p>
      <w:r>
        <w:t>| AUC (0-∞) | 25000.0 | ng·h/mL |</w:t>
      </w:r>
    </w:p>
    <w:p>
      <w:r>
        <w:t>| Terminal Half-life | 12.0 | hours |</w:t>
      </w:r>
    </w:p>
    <w:p>
      <w:r>
        <w:t>| Volume of Distribution | 0.5 | L/kg |</w:t>
      </w:r>
    </w:p>
    <w:p>
      <w:r>
        <w:t>| Half-life | 12.0 | h |</w:t>
      </w:r>
    </w:p>
    <w:p>
      <w:r>
        <w:t>Computational analysis suggests a terminal half-life of 12.0 hours, indicating suitability for once-daily dosing. The predicted volume of distribution is 0.5 L/kg. Target occupancy at trough is computationally predicted to be 0.0%. Clearance and fraction unbound data are [PLACEHOLDER: Clearance and fraction unbound data are currently unavailable from experimental or computational models]. These are in-silico predictions and require clinical validation.</w:t>
      </w:r>
    </w:p>
    <w:p>
      <w:r>
        <w:t>**4. Toxicology Summary**</w:t>
      </w:r>
    </w:p>
    <w:p>
      <w:r>
        <w:t>Non-clinical toxicology assessments for IND Application: IND Application: Sample_Drug have primarily relied on in-silico QSAR model predictions.</w:t>
      </w:r>
    </w:p>
    <w:p>
      <w:r>
        <w:t>*   **Genotoxicity:** In-silico prediction for genotoxicity (Ames test) is negative, suggesting a low risk of DNA damage.</w:t>
      </w:r>
    </w:p>
    <w:p>
      <w:r>
        <w:t>*   **Hepatotoxicity:** Structural alert analysis computationally predicts a low risk of hepatotoxicity.</w:t>
      </w:r>
    </w:p>
    <w:p>
      <w:r>
        <w:t>*   **Cardiac Safety:** The hERG IC50 safety margin is computationally predicted to be 30.0x, indicating an acceptable margin for cardiac repolarization effects.</w:t>
      </w:r>
    </w:p>
    <w:p>
      <w:r>
        <w:t>*   **Overall Risk:** The overall risk score is computationally assessed at 75.0/100, suggesting a low overall toxicological risk profile.</w:t>
      </w:r>
    </w:p>
    <w:p>
      <w:r>
        <w:t>No significant risks were identified from these computational analyses.</w:t>
      </w:r>
    </w:p>
    <w:p>
      <w:r>
        <w:t>**5. Known Risks and Precautionary Measures**</w:t>
      </w:r>
    </w:p>
    <w:p>
      <w:r>
        <w:t>Based on in-silico predictions, IND Application: IND Application: Sample_Drug is associated with a low overall risk profile. However, as with all novel investigational agents, potential risks include, but are not limited to, adverse events related to systemic exposure.</w:t>
      </w:r>
    </w:p>
    <w:p>
      <w:r>
        <w:t>*   **Precautionary Measures:** Close monitoring of patients for adverse events, including clinical laboratory parameters (hepatic and renal function), vital signs, and ECGs, will be implemented during clinical trials. Dose modifications or interruptions may be necessary based on observed toxicities.</w:t>
      </w:r>
    </w:p>
    <w:p>
      <w:pPr>
        <w:pStyle w:val="Heading2"/>
      </w:pPr>
      <w:r>
        <w:t>Section 8: Pharmacology and Toxicology</w:t>
      </w:r>
    </w:p>
    <w:p>
      <w:r>
        <w:t>**8.1 Introduction**</w:t>
      </w:r>
    </w:p>
    <w:p>
      <w:r>
        <w:t>IND Application: IND Application: Sample_Drug is a small molecule investigational drug with the SMILES structure: CCOc1ccc(cc1)C(=O)N2CCC(CC2)c3c[nH]c4c3cccc4. It belongs to the drug class of small molecules and is being developed for oncology. The precise mechanism of action is [Mechanism of Action - To Be Determined].</w:t>
      </w:r>
    </w:p>
    <w:p>
      <w:r>
        <w:t>**8.2 Non-Clinical Pharmacology**</w:t>
      </w:r>
    </w:p>
    <w:p>
      <w:r>
        <w:t>**Interspecies PK Comparison (Rat, Dog, Monkey vs Human)**</w:t>
      </w:r>
    </w:p>
    <w:p>
      <w:r>
        <w:t>| Species | Clearance (mL/min/kg) | Vss (L/kg) | Fup (%) |</w:t>
      </w:r>
    </w:p>
    <w:p>
      <w:r>
        <w:t>|:---|:---|:---|:---|</w:t>
      </w:r>
    </w:p>
    <w:p>
      <w:r>
        <w:t>| Rat | None | None | None% |</w:t>
      </w:r>
    </w:p>
    <w:p>
      <w:r>
        <w:t>| Dog | None | None | None% |</w:t>
      </w:r>
    </w:p>
    <w:p>
      <w:r>
        <w:t>| Monkey | None | None | None% |</w:t>
      </w:r>
    </w:p>
    <w:p>
      <w:r>
        <w:t>| Human (in-silico) | [PLACEHOLDER: Human clearance data] | 0.5 | [PLACEHOLDER: Human Fup data] |</w:t>
      </w:r>
    </w:p>
    <w:p>
      <w:r>
        <w:t>Experimental non-clinical pharmacokinetic data in animal species (Rat, Dog, Monkey) are currently unavailable. Therefore, a direct interspecies comparison of PK parameters cannot be performed at this time.</w:t>
      </w:r>
    </w:p>
    <w:p>
      <w:r>
        <w:t>**Allometric Scaling Justification**</w:t>
      </w:r>
    </w:p>
    <w:p>
      <w:r>
        <w:t>[PLACEHOLDER: Allometric scaling justification would typically be provided here, based on available non-clinical pharmacokinetic data across multiple species to predict human PK parameters. As animal data are unavailable, this justification cannot be provided.]</w:t>
      </w:r>
    </w:p>
    <w:p>
      <w:r>
        <w:t>**8.3 Pharmacokinetics**</w:t>
      </w:r>
    </w:p>
    <w:p>
      <w:r>
        <w:t>The pharmacokinetic profile of IND Application: IND Application: Sample_Drug has been characterized through in-silico mPBPK model predictions.</w:t>
      </w:r>
    </w:p>
    <w:p>
      <w:r>
        <w:t>| Parameter | Predicted Value | Unit |</w:t>
      </w:r>
    </w:p>
    <w:p>
      <w:r>
        <w:t>|:---|:---|:---|</w:t>
      </w:r>
    </w:p>
    <w:p>
      <w:r>
        <w:t>| Cmax | 1500.0 | ng/mL |</w:t>
      </w:r>
    </w:p>
    <w:p>
      <w:r>
        <w:t>| AUC (0-∞) | 25000.0 | ng·h/mL |</w:t>
      </w:r>
    </w:p>
    <w:p>
      <w:r>
        <w:t>| Terminal Half-life | 12.0 | hours |</w:t>
      </w:r>
    </w:p>
    <w:p>
      <w:r>
        <w:t>| Target Occupancy at Trough | 0.0 | % |</w:t>
      </w:r>
    </w:p>
    <w:p>
      <w:r>
        <w:t>| Volume of Distribution | 0.5 | L/kg |</w:t>
      </w:r>
    </w:p>
    <w:p>
      <w:r>
        <w:t>| Clearance | N/A | mL/min/kg |</w:t>
      </w:r>
    </w:p>
    <w:p>
      <w:r>
        <w:t>| Half-life | 12.0 | h |</w:t>
      </w:r>
    </w:p>
    <w:p>
      <w:r>
        <w:t>| Fraction Unbound | N/A% | |</w:t>
      </w:r>
    </w:p>
    <w:p>
      <w:r>
        <w:t>Computational analysis predicts a Cmax of 1500.0 ng/mL and an AUC (0-∞) of 25000.0 ng·h/mL. The predicted terminal half-life is 12.0 hours, suggesting that once-daily dosing may maintain consistent drug levels. The volume of distribution is computationally predicted to be 0.5 L/kg. Clearance and fraction unbound values are currently unavailable. These in-silico predictions will require experimental validation in clinical studies.</w:t>
      </w:r>
    </w:p>
    <w:p>
      <w:r>
        <w:t>**8.4 Toxicology**</w:t>
      </w:r>
    </w:p>
    <w:p>
      <w:r>
        <w:t>Toxicology assessments for IND Application: IND Application: Sample_Drug have been performed using in-silico QSAR models.</w:t>
      </w:r>
    </w:p>
    <w:p>
      <w:r>
        <w:t>*   **Genotoxicity:** Computational analysis predicts a negative result in the Ames test, suggesting IND Application: IND Application: Sample_Drug is unlikely to be genotoxic.</w:t>
      </w:r>
    </w:p>
    <w:p>
      <w:r>
        <w:t>*   **Hepatotoxicity:** Structural alert analysis computationally indicates a low risk of drug-induced hepatotoxicity.</w:t>
      </w:r>
    </w:p>
    <w:p>
      <w:r>
        <w:t>*   **Overall Risk:** The overall risk score, derived from computational models, is 75.0/100, which suggests a low overall toxicological risk.</w:t>
      </w:r>
    </w:p>
    <w:p>
      <w:r>
        <w:t>No significant toxicological risks were identified from these computational predictions.</w:t>
      </w:r>
    </w:p>
    <w:p>
      <w:r>
        <w:t>**8.5 Safety Pharmacology**</w:t>
      </w:r>
    </w:p>
    <w:p>
      <w:r>
        <w:t>*   **hERG Assessment:** The hERG IC50 safety margin is computationally predicted to be 30.0x. This suggests a low risk for cardiac repolarization abnormalities at anticipated therapeutic concentrations.</w:t>
      </w:r>
    </w:p>
    <w:p>
      <w:r>
        <w:t>*   **Cardiovascular Safety:** Based on the acceptable hERG safety margin, the computational analysis indicates a low predicted risk for significant cardiovascular adverse events.</w:t>
      </w:r>
    </w:p>
    <w:p>
      <w:r>
        <w:t>*   **Hepatotoxicity Risk:** As noted in toxicology, structural alert analysis computationally suggests a low risk of hepatotoxicity.</w:t>
      </w:r>
    </w:p>
    <w:p>
      <w:r>
        <w:t>**8.6 GLP Compliance Statement**</w:t>
      </w:r>
    </w:p>
    <w:p>
      <w:r>
        <w:t>[PLACEHOLDER: A statement confirming that all non-clinical laboratory studies were conducted in compliance with Good Laboratory Practice (GLP) regulations, or a justification for non-compliance, would be provided here.]</w:t>
      </w:r>
    </w:p>
    <w:p>
      <w:r>
        <w:t>**8.6 Evaluator Statement**</w:t>
      </w:r>
    </w:p>
    <w:p>
      <w:r>
        <w:t>[PLACEHOLDER: A statement from the evaluator, typically a qualified toxicologist or pharmacologist, summarizing their review of the non-clinical data and conclusions regarding the safety of proceeding to clinical trials, would be provided here.]</w:t>
      </w:r>
    </w:p>
    <w:p>
      <w:r>
        <w:t>**8.7 References**</w:t>
      </w:r>
    </w:p>
    <w:p>
      <w:r>
        <w:t>[PLACEHOLDER: A list of all references cited in the Pharmacology and Toxicology sections would be provided here.]</w:t>
      </w:r>
    </w:p>
    <w:p>
      <w:r>
        <w:br w:type="page"/>
      </w:r>
    </w:p>
    <w:p>
      <w:r>
        <w:rPr>
          <w:b/>
        </w:rPr>
        <w:t>DISCLAIMER: This document is an AI-generated draft for prototype demonstration purposes only. It does NOT replace experimental data or professional regulatory review. Verify all values against original study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