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t># IND APPLICATION: IND Application: Sample_Drug</w:t>
      </w:r>
    </w:p>
    <w:p>
      <w:r>
        <w:t>---</w:t>
      </w:r>
    </w:p>
    <w:p>
      <w:pPr>
        <w:pStyle w:val="Heading2"/>
      </w:pPr>
      <w:r>
        <w:t>Section 1: Cover Page (FDA Form 1571)</w:t>
      </w:r>
    </w:p>
    <w:p>
      <w:r>
        <w:t>**DEPARTMENT OF HEALTH AND HUMAN SERVICES**</w:t>
      </w:r>
    </w:p>
    <w:p>
      <w:r>
        <w:t>**FOOD AND DRUG ADMINISTRATION**</w:t>
      </w:r>
    </w:p>
    <w:p>
      <w:r>
        <w:t>**APPLICATION FOR INVESTIGATIONAL NEW DRUG (IND) EXEMPTION**</w:t>
      </w:r>
    </w:p>
    <w:p>
      <w:r>
        <w:t>| Field | Detail |</w:t>
      </w:r>
    </w:p>
    <w:p>
      <w:r>
        <w:t>|:---|:---|</w:t>
      </w:r>
    </w:p>
    <w:p>
      <w:r>
        <w:t>| **1. APPLICANT INFORMATION** | |</w:t>
      </w:r>
    </w:p>
    <w:p>
      <w:r>
        <w:t>| Name | Economy Park |</w:t>
      </w:r>
    </w:p>
    <w:p>
      <w:r>
        <w:t>| Address | Incheon, Jung-Gu |</w:t>
      </w:r>
    </w:p>
    <w:p>
      <w:r>
        <w:t>| Phone | 01012345678 |</w:t>
      </w:r>
    </w:p>
    <w:p>
      <w:r>
        <w:t>| **2. DRUG IDENTIFICATION** | |</w:t>
      </w:r>
    </w:p>
    <w:p>
      <w:r>
        <w:t>| Drug Name | IND Application: Sample_Drug |</w:t>
      </w:r>
    </w:p>
    <w:p>
      <w:r>
        <w:t>| Drug Class | Small Molecule |</w:t>
      </w:r>
    </w:p>
    <w:p>
      <w:r>
        <w:t>| **3. CLINICAL PHASE** | |</w:t>
      </w:r>
    </w:p>
    <w:p>
      <w:r>
        <w:t>| Phase | Phase 1 |</w:t>
      </w:r>
    </w:p>
    <w:p>
      <w:r>
        <w:t>| **4. APPLICATION DATE** | |</w:t>
      </w:r>
    </w:p>
    <w:p>
      <w:r>
        <w:t>| Date | 2026-02-09 |</w:t>
      </w:r>
    </w:p>
    <w:p>
      <w:r>
        <w:t>**5. SPONSOR COMMITMENTS (21 CFR 312.23)**</w:t>
      </w:r>
    </w:p>
    <w:p>
      <w:r>
        <w:t>The sponsor, Economy Park, commits to the following:</w:t>
      </w:r>
    </w:p>
    <w:p>
      <w:r>
        <w:t>a. To conduct the investigation in compliance with all applicable regulatory requirements set forth in 21 CFR Part 312.</w:t>
      </w:r>
    </w:p>
    <w:p>
      <w:r>
        <w:t>b. To obtain informed consent from all human subjects participating in the investigation in accordance with 21 CFR Part 50.</w:t>
      </w:r>
    </w:p>
    <w:p>
      <w:r>
        <w:t>c. To ensure institutional review board (IRB) review and approval of the investigation in accordance with 21 CFR Part 56.</w:t>
      </w:r>
    </w:p>
    <w:p>
      <w:r>
        <w:t>d. To report adverse events in accordance with 21 CFR 312.32.</w:t>
      </w:r>
    </w:p>
    <w:p>
      <w:r>
        <w:t>e. To maintain adequate records and allow for FDA inspection in accordance with 21 CFR 312.57 and 312.58.</w:t>
      </w:r>
    </w:p>
    <w:p>
      <w:r>
        <w:t>---</w:t>
      </w:r>
    </w:p>
    <w:p>
      <w:pPr>
        <w:pStyle w:val="Heading2"/>
      </w:pPr>
      <w:r>
        <w:t>Section 2: Introduction and General Investigational Plan</w:t>
      </w:r>
    </w:p>
    <w:p>
      <w:r>
        <w:t>**Cover Sheet**</w:t>
      </w:r>
    </w:p>
    <w:p>
      <w:r>
        <w:t>| Field | Detail |</w:t>
      </w:r>
    </w:p>
    <w:p>
      <w:r>
        <w:t>|:---|:---|</w:t>
      </w:r>
    </w:p>
    <w:p>
      <w:r>
        <w:t>| Drug Name | IND Application: Sample_Drug |</w:t>
      </w:r>
    </w:p>
    <w:p>
      <w:r>
        <w:t>| Drug Class | Small Molecule |</w:t>
      </w:r>
    </w:p>
    <w:p>
      <w:r>
        <w:t>| Indication | Oncology |</w:t>
      </w:r>
    </w:p>
    <w:p>
      <w:r>
        <w:t>| Applicant | Economy Park |</w:t>
      </w:r>
    </w:p>
    <w:p>
      <w:r>
        <w:t>**Introductory Statement**</w:t>
      </w:r>
    </w:p>
    <w:p>
      <w:r>
        <w:t>IND Application: Sample_Drug is a novel small molecule investigational agent proposed for the treatment of oncology. The scientific rationale for its development is based on the unmet medical need for new therapeutic options in cancer treatment. The precise mechanism of action for IND Application: Sample_Drug is currently [Mechanism of Action - To Be Determined], but computational analysis suggests potential therapeutic activity relevant to oncology.</w:t>
      </w:r>
    </w:p>
    <w:p>
      <w:r>
        <w:t>**Research Justification**</w:t>
      </w:r>
    </w:p>
    <w:p>
      <w:r>
        <w:t>Despite advances in oncology, many patients experience disease progression or develop resistance to existing therapies, highlighting the critical need for novel agents with distinct mechanisms of action. The development of IND Application: Sample_Drug aims to address this need by exploring a new therapeutic approach for adult patients with oncology.</w:t>
      </w:r>
    </w:p>
    <w:p>
      <w:r>
        <w:t>**General Approach to Evaluation**</w:t>
      </w:r>
    </w:p>
    <w:p>
      <w:r>
        <w:t>The general investigational plan for IND Application: Sample_Drug is designed to systematically evaluate its safety, tolerability, pharmacokinetics (PK), and preliminary anti-tumor activity in human subjects. The initial phase of clinical development will focus on a Phase 1 study to establish a safe and tolerable dose range, characterize the PK profile, and identify any dose-limiting toxicities. Subsequent phases will explore efficacy and further characterize the safety profile in larger patient populations.</w:t>
      </w:r>
    </w:p>
    <w:p>
      <w:r>
        <w:t>**First-Year Study Summary**</w:t>
      </w:r>
    </w:p>
    <w:p>
      <w:r>
        <w:t>The initial clinical study planned for the first year is a Phase 1, open-label, single-arm study in adult patients with oncology. The study is expected to enroll approximately 30 patients over a duration of 12 weeks. The primary objectives will be to assess the safety and tolerability of IND Application: Sample_Drug and to characterize its pharmacokinetic profile following oral administration. Preliminary assessments of anti-tumor activity will also be conducted.</w:t>
      </w:r>
    </w:p>
    <w:p>
      <w:r>
        <w:t>**Risk Assessment Based on Computational Predictions**</w:t>
      </w:r>
    </w:p>
    <w:p>
      <w:r>
        <w:t>Based on available in-silico data, IND Application: Sample_Drug appears to present a low overall risk profile. Computational toxicology predictions (QSAR model) suggest no significant risks, with a low hepatotoxicity risk identified through structural alert analysis and a negative genotoxicity prediction (Ames test). The hERG IC50 safety margin is predicted to be 30.0x, which is considered acceptable. The overall risk score is computationally predicted as 75.0/100, indicating a low risk profile. These computational assessments suggest that IND Application: Sample_Drug may be suitable for initial human clinical investigation.</w:t>
      </w:r>
    </w:p>
    <w:p>
      <w:r>
        <w:t>---</w:t>
      </w:r>
    </w:p>
    <w:p>
      <w:pPr>
        <w:pStyle w:val="Heading2"/>
      </w:pPr>
      <w:r>
        <w:t>Section 3: Clinical Protocol</w:t>
      </w:r>
    </w:p>
    <w:p>
      <w:r>
        <w:t>**PROTOCOL TITLE:** A Phase 1, Open-Label, Single-Arm Study to Evaluate the Safety, Tolerability, Pharmacokinetics, and Preliminary Anti-Tumor Activity of IND Application: Sample_Drug in Adult Patients with Oncology.</w:t>
      </w:r>
    </w:p>
    <w:p>
      <w:r>
        <w:t>**Protocol Synopsis**</w:t>
      </w:r>
    </w:p>
    <w:p>
      <w:r>
        <w:t>| Field | Detail |</w:t>
      </w:r>
    </w:p>
    <w:p>
      <w:r>
        <w:t>|:---|:---|</w:t>
      </w:r>
    </w:p>
    <w:p>
      <w:r>
        <w:t>| Drug Name | IND Application: Sample_Drug |</w:t>
      </w:r>
    </w:p>
    <w:p>
      <w:r>
        <w:t>| Phase | Phase 1 |</w:t>
      </w:r>
    </w:p>
    <w:p>
      <w:r>
        <w:t>| Indication | Oncology |</w:t>
      </w:r>
    </w:p>
    <w:p>
      <w:r>
        <w:t>| Primary Obj. | Safety, Tolerability, PK |</w:t>
      </w:r>
    </w:p>
    <w:p>
      <w:r>
        <w:t>| Secondary Obj. | Preliminary Efficacy |</w:t>
      </w:r>
    </w:p>
    <w:p>
      <w:r>
        <w:t>| Study Design | Open-label, Single-arm |</w:t>
      </w:r>
    </w:p>
    <w:p>
      <w:r>
        <w:t>| Dosing | 100.0 mg QD |</w:t>
      </w:r>
    </w:p>
    <w:p>
      <w:r>
        <w:t>| Enrollment | 30 patients |</w:t>
      </w:r>
    </w:p>
    <w:p>
      <w:r>
        <w:t>| Duration | 12 weeks |</w:t>
      </w:r>
    </w:p>
    <w:p>
      <w:r>
        <w:t>**Primary Objectives**</w:t>
      </w:r>
    </w:p>
    <w:p>
      <w:r>
        <w:t>1. To assess the safety and tolerability of orally administered IND Application: Sample_Drug in adult patients with oncology.</w:t>
      </w:r>
    </w:p>
    <w:p>
      <w:r>
        <w:t>2. To characterize the pharmacokinetic profile of IND Application: Sample_Drug following oral administration.</w:t>
      </w:r>
    </w:p>
    <w:p>
      <w:r>
        <w:t>**Secondary Objectives**</w:t>
      </w:r>
    </w:p>
    <w:p>
      <w:r>
        <w:t>1. To evaluate preliminary anti-tumor activity of IND Application: Sample_Drug in adult patients with oncology.</w:t>
      </w:r>
    </w:p>
    <w:p>
      <w:r>
        <w:t>**Investigator Information**</w:t>
      </w:r>
    </w:p>
    <w:p>
      <w:r>
        <w:t>| Field | Detail |</w:t>
      </w:r>
    </w:p>
    <w:p>
      <w:r>
        <w:t>|:---|:---|</w:t>
      </w:r>
    </w:p>
    <w:p>
      <w:r>
        <w:t>| Principal Investigator | Dr. Hazel Jung |</w:t>
      </w:r>
    </w:p>
    <w:p>
      <w:r>
        <w:t>| Credentials | PM |</w:t>
      </w:r>
    </w:p>
    <w:p>
      <w:r>
        <w:t>| Institution | Ground21 |</w:t>
      </w:r>
    </w:p>
    <w:p>
      <w:r>
        <w:t>| Institution Address | Incheon, Gyeyang |</w:t>
      </w:r>
    </w:p>
    <w:p>
      <w:r>
        <w:t>| IRB/Ethics Committee | Booooooard |</w:t>
      </w:r>
    </w:p>
    <w:p>
      <w:r>
        <w:t>**Patient Selection Criteria**</w:t>
      </w:r>
    </w:p>
    <w:p>
      <w:r>
        <w:t>**Inclusion Criteria:**</w:t>
      </w:r>
    </w:p>
    <w:p>
      <w:r>
        <w:t>1. Adult patients, male or female, ≥18 years of age.</w:t>
      </w:r>
    </w:p>
    <w:p>
      <w:r>
        <w:t>2. Histologically or cytologically confirmed diagnosis of advanced or metastatic solid tumor that is refractory to standard therapy or for which no standard therapy exists.</w:t>
      </w:r>
    </w:p>
    <w:p>
      <w:r>
        <w:t>3. Measurable disease as defined by Response Evaluation Criteria in Solid Tumors (RECIST) version 1.1.</w:t>
      </w:r>
    </w:p>
    <w:p>
      <w:r>
        <w:t>4. Eastern Cooperative Oncology Group (ECOG) performance status of 0 or 1.</w:t>
      </w:r>
    </w:p>
    <w:p>
      <w:r>
        <w:t>5. Adequate organ function as defined by:</w:t>
      </w:r>
    </w:p>
    <w:p>
      <w:r>
        <w:t>- Absolute neutrophil count (ANC) ≥ 1.5 x 10^9/L</w:t>
      </w:r>
    </w:p>
    <w:p>
      <w:r>
        <w:t>- Platelets ≥ 100 x 10^9/L</w:t>
      </w:r>
    </w:p>
    <w:p>
      <w:r>
        <w:t>- Hemoglobin ≥ 9.0 g/dL</w:t>
      </w:r>
    </w:p>
    <w:p>
      <w:r>
        <w:t>- Total bilirubin ≤ 1.5 x upper limit of normal (ULN) (≤ 3.0 x ULN for patients with Gilbert's syndrome)</w:t>
      </w:r>
    </w:p>
    <w:p>
      <w:r>
        <w:t>- Aspartate aminotransferase (AST) and Alanine aminotransferase (ALT) ≤ 2.5 x ULN (≤ 5 x ULN for patients with liver metastases)</w:t>
      </w:r>
    </w:p>
    <w:p>
      <w:r>
        <w:t>- Serum creatinine ≤ 1.5 x ULN or creatinine clearance ≥ 60 mL/min (calculated using Cockcroft-Gault formula).</w:t>
      </w:r>
    </w:p>
    <w:p>
      <w:r>
        <w:t>6. Life expectancy of at least 3 months.</w:t>
      </w:r>
    </w:p>
    <w:p>
      <w:r>
        <w:t>7. Ability to understand and willingness to sign a written informed consent form.</w:t>
      </w:r>
    </w:p>
    <w:p>
      <w:r>
        <w:t>**Exclusion Criteria:**</w:t>
      </w:r>
    </w:p>
    <w:p>
      <w:r>
        <w:t>1. Prior anti-cancer therapy (chemotherapy, radiation, immunotherapy, targeted therapy, or investigational agents) within 4 weeks or 5 half-lives (whichever is shorter) prior to the first dose of study drug.</w:t>
      </w:r>
    </w:p>
    <w:p>
      <w:r>
        <w:t>2. Major surgery within 4 weeks prior to the first dose of study drug.</w:t>
      </w:r>
    </w:p>
    <w:p>
      <w:r>
        <w:t>3. Uncontrolled or significant cardiovascular disease (e.g., uncontrolled hypertension, unstable angina, myocardial infarction within 6 months, New York Heart Association Class III or IV congestive heart failure, uncontrolled arrhythmias).</w:t>
      </w:r>
    </w:p>
    <w:p>
      <w:r>
        <w:t>4. Known active central nervous system (CNS) metastases or leptomeningeal carcinomatosis requiring immediate intervention.</w:t>
      </w:r>
    </w:p>
    <w:p>
      <w:r>
        <w:t>5. Known history of human immunodeficiency virus (HIV) infection, active hepatitis B or C infection.</w:t>
      </w:r>
    </w:p>
    <w:p>
      <w:r>
        <w:t>6. Pregnant or lactating women. Women of childbearing potential and men must agree to use highly effective contraception during the study and for at least 3 months after the last dose.</w:t>
      </w:r>
    </w:p>
    <w:p>
      <w:r>
        <w:t>7. Any other severe acute or chronic medical condition or laboratory abnormality that, in the opinion of the investigator, would make the patient unsuitable for the study.</w:t>
      </w:r>
    </w:p>
    <w:p>
      <w:r>
        <w:t>**Study Design**</w:t>
      </w:r>
    </w:p>
    <w:p>
      <w:r>
        <w:t>This will be a Phase 1, open-label, single-arm, dose-escalation study. Patients will receive oral IND Application: Sample_Drug at a starting dose, followed by subsequent dose escalation cohorts based on safety and tolerability assessments. The study will utilize a 3+3 dose escalation design. Patients will be evaluated for safety, tolerability, and pharmacokinetic parameters.</w:t>
      </w:r>
    </w:p>
    <w:p>
      <w:r>
        <w:t>**Dosing Regimen**</w:t>
      </w:r>
    </w:p>
    <w:p>
      <w:r>
        <w:t>The proposed starting dose for IND Application: Sample_Drug is 100.0 mg administered orally once daily (QD). This dosing regimen is justified by in-silico pharmacokinetic predictions (mPBPK model) which suggest a Cmax of 1500.0 ng/mL and an AUC (0-∞) of 25000.0 ng·h/mL at this dose, indicating potentially therapeutically relevant exposures while maintaining an acceptable safety margin based on non-clinical data. The terminal half-life is computationally predicted to be 12.0 hours, supporting a QD dosing schedule.</w:t>
      </w:r>
    </w:p>
    <w:p>
      <w:r>
        <w:t>**Safety Monitoring Plan**</w:t>
      </w:r>
    </w:p>
    <w:p>
      <w:r>
        <w:t>Safety will be monitored throughout the study by regular assessment of adverse events (AEs) graded according to the National Cancer Institute Common Terminology Criteria for Adverse Events (NCI CTCAE) version 5.0. This includes:</w:t>
      </w:r>
    </w:p>
    <w:p>
      <w:r>
        <w:t>- **Clinical Assessments:** Physical examinations, vital signs (blood pressure, heart rate, respiratory rate, temperature), and ECOG performance status at each visit.</w:t>
      </w:r>
    </w:p>
    <w:p>
      <w:r>
        <w:t>- **Laboratory Assessments:** Hematology, serum chemistry (including liver and renal function tests), and urinalysis will be performed at screening, weekly during the first cycle, and then every 2-4 weeks.</w:t>
      </w:r>
    </w:p>
    <w:p>
      <w:r>
        <w:t>- **Electrocardiograms (ECGs):** 12-lead ECGs will be performed at screening and at specified time points to monitor for cardiac abnormalities, particularly given the acceptable hERG safety margin identified computationally.</w:t>
      </w:r>
    </w:p>
    <w:p>
      <w:r>
        <w:t>- **Serious Adverse Events (SAEs):** All SAEs will be reported promptly in accordance with regulatory requirements.</w:t>
      </w:r>
    </w:p>
    <w:p>
      <w:r>
        <w:t>- **Dose Limiting Toxicities (DLTs):** DLTs will be defined based on the severity and duration of AEs occurring during the first cycle of treatment.</w:t>
      </w:r>
    </w:p>
    <w:p>
      <w:r>
        <w:t>**Efficacy Assessments**</w:t>
      </w:r>
    </w:p>
    <w:p>
      <w:r>
        <w:t>Preliminary anti-tumor activity will be assessed by:</w:t>
      </w:r>
    </w:p>
    <w:p>
      <w:r>
        <w:t>- **Tumor Response:** Tumor measurements will be performed at screening and every 6-8 weeks thereafter using computed tomography (CT) or magnetic resonance imaging (MRI) scans, evaluated according to RECIST 1.1 criteria.</w:t>
      </w:r>
    </w:p>
    <w:p>
      <w:r>
        <w:t>- **Biomarkers:** [PLACEHOLDER: Description of any relevant biomarker assessments for efficacy]</w:t>
      </w:r>
    </w:p>
    <w:p>
      <w:r>
        <w:t>**Statistical Considerations**</w:t>
      </w:r>
    </w:p>
    <w:p>
      <w:r>
        <w:t>Given the Phase 1 nature of the study, statistical analyses will primarily be descriptive.</w:t>
      </w:r>
    </w:p>
    <w:p>
      <w:r>
        <w:t>- **Safety and Tolerability:** Incidence, severity, and relatedness of AEs will be summarized using descriptive statistics.</w:t>
      </w:r>
    </w:p>
    <w:p>
      <w:r>
        <w:t>- **Pharmacokinetics:** PK parameters (e.g., Cmax, AUC, Tmax, t1/2, Vd) will be determined using non-compartmental analysis and summarized descriptively.</w:t>
      </w:r>
    </w:p>
    <w:p>
      <w:r>
        <w:t>- **Efficacy:** Tumor response rates (complete response, partial response, stable disease, progressive disease) will be presented with 95% confidence intervals. Duration of response and progression-free survival will be summarized descriptively.</w:t>
      </w:r>
    </w:p>
    <w:p>
      <w:r>
        <w:t>- **Sample Size:** The planned enrollment of 30 patients is considered sufficient for a Phase 1 study to characterize the safety, tolerability, and PK profile and to provide preliminary indications of anti-tumor activity.</w:t>
      </w:r>
    </w:p>
    <w:p>
      <w:r>
        <w:t>---</w:t>
      </w:r>
    </w:p>
    <w:p>
      <w:pPr>
        <w:pStyle w:val="Heading2"/>
      </w:pPr>
      <w:r>
        <w:t>Section 5: Investigator's Brochure</w:t>
      </w:r>
    </w:p>
    <w:p>
      <w:r>
        <w:t>**1. DRUG SUBSTANCE DESCRIPTION**</w:t>
      </w:r>
    </w:p>
    <w:p>
      <w:r>
        <w:t>IND Application: Sample_Drug is a small molecule investigational drug.</w:t>
      </w:r>
    </w:p>
    <w:p>
      <w:r>
        <w:t>**Chemical Name:** [PLACEHOLDER: Chemical Name]</w:t>
      </w:r>
    </w:p>
    <w:p>
      <w:r>
        <w:t>**SMILES/Sequence:** CCOc1ccc(cc1)C(=O)N2CCC(CC2)c3c[nH]c4c3cccc4</w:t>
      </w:r>
    </w:p>
    <w:p>
      <w:r>
        <w:t>**Molecular Formula:** [PLACEHOLDER: Molecular Formula]</w:t>
      </w:r>
    </w:p>
    <w:p>
      <w:r>
        <w:t>**Molecular Weight:** [PLACEHOLDER: Molecular Weight]</w:t>
      </w:r>
    </w:p>
    <w:p>
      <w:r>
        <w:t>**Physical Description:** [PLACEHOLDER: Physical Description]</w:t>
      </w:r>
    </w:p>
    <w:p>
      <w:r>
        <w:t>**2. PHARMACOLOGY SUMMARY**</w:t>
      </w:r>
    </w:p>
    <w:p>
      <w:r>
        <w:t>IND Application: Sample_Drug is being developed for the therapeutic indication of oncology. The precise mechanism of action is currently [Mechanism of Action - To Be Determined]. Computational analysis predicts potential therapeutic relevance in cancer.</w:t>
      </w:r>
    </w:p>
    <w:p>
      <w:r>
        <w:t>**3. PHARMACOKINETICS SUMMARY**</w:t>
      </w:r>
    </w:p>
    <w:p>
      <w:r>
        <w:t>The pharmacokinetic profile of IND Application: Sample_Drug has been characterized through in-silico predictions using an mPBPK model.</w:t>
      </w:r>
    </w:p>
    <w:p>
      <w:r>
        <w:t>| Parameter | Predicted Value | Unit |</w:t>
      </w:r>
    </w:p>
    <w:p>
      <w:r>
        <w:t>|:---|:---|:---|</w:t>
      </w:r>
    </w:p>
    <w:p>
      <w:r>
        <w:t>| Cmax | 1500.0 | ng/mL |</w:t>
      </w:r>
    </w:p>
    <w:p>
      <w:r>
        <w:t>| AUC (0-∞) | 25000.0 | ng·h/mL |</w:t>
      </w:r>
    </w:p>
    <w:p>
      <w:r>
        <w:t>| Terminal Half-life | 12.0 | hours |</w:t>
      </w:r>
    </w:p>
    <w:p>
      <w:r>
        <w:t>| Target Occupancy at Trough | 0.0 | % |</w:t>
      </w:r>
    </w:p>
    <w:p>
      <w:r>
        <w:t>| Volume of Distribution | 0.5 | L/kg |</w:t>
      </w:r>
    </w:p>
    <w:p>
      <w:r>
        <w:t>| Clearance | N/A | mL/min/kg |</w:t>
      </w:r>
    </w:p>
    <w:p>
      <w:r>
        <w:t>| Half-life | 12.0 | h |</w:t>
      </w:r>
    </w:p>
    <w:p>
      <w:r>
        <w:t>| Fraction Unbound | N/A% | |</w:t>
      </w:r>
    </w:p>
    <w:p>
      <w:r>
        <w:t>These computational predictions suggest a moderate half-life suitable for once-daily dosing and an estimated volume of distribution. Experimental data are required to confirm these in-silico predictions.</w:t>
      </w:r>
    </w:p>
    <w:p>
      <w:r>
        <w:t>**4. TOXICOLOGY SUMMARY**</w:t>
      </w:r>
    </w:p>
    <w:p>
      <w:r>
        <w:t>Non-clinical toxicology assessments for IND Application: Sample_Drug have been primarily conducted through in-silico predictions using a QSAR model.</w:t>
      </w:r>
    </w:p>
    <w:p>
      <w:r>
        <w:t>- **General Toxicity:** No significant risks were identified through computational analysis.</w:t>
      </w:r>
    </w:p>
    <w:p>
      <w:r>
        <w:t>- **Hepatotoxicity:** A low hepatotoxicity risk was predicted based on structural alert analysis.</w:t>
      </w:r>
    </w:p>
    <w:p>
      <w:r>
        <w:t>- **Genotoxicity:** In-silico prediction for genotoxicity (Ames test) was negative.</w:t>
      </w:r>
    </w:p>
    <w:p>
      <w:r>
        <w:t>These computational predictions suggest a favorable toxicology profile, but require confirmation through in-vivo studies.</w:t>
      </w:r>
    </w:p>
    <w:p>
      <w:r>
        <w:t>**5. KNOWN RISKS AND PRECAUTIONARY MEASURES**</w:t>
      </w:r>
    </w:p>
    <w:p>
      <w:r>
        <w:t>Based on the available in-silico safety assessment:</w:t>
      </w:r>
    </w:p>
    <w:p>
      <w:r>
        <w:t>- **hERG Inhibition:** The hERG IC50 safety margin is computationally predicted to be 30.0x, which is considered acceptable. This suggests a low risk of QT prolongation.</w:t>
      </w:r>
    </w:p>
    <w:p>
      <w:r>
        <w:t>- **Hepatotoxicity:** A low risk of hepatotoxicity is predicted. Liver function should be monitored during clinical trials.</w:t>
      </w:r>
    </w:p>
    <w:p>
      <w:r>
        <w:t>- **Genotoxicity:** In-silico predictions indicate a negative genotoxicity risk.</w:t>
      </w:r>
    </w:p>
    <w:p>
      <w:r>
        <w:t>- **Overall Risk:** The overall risk score is computationally predicted as 75.0/100, indicating a low overall risk profile.</w:t>
      </w:r>
    </w:p>
    <w:p>
      <w:r>
        <w:t>Precautionary measures in clinical trials will include routine monitoring of vital signs, laboratory parameters (including liver and renal function), and ECGs to detect any potential adverse effects.</w:t>
      </w:r>
    </w:p>
    <w:p>
      <w:r>
        <w:t>---</w:t>
      </w:r>
    </w:p>
    <w:p>
      <w:pPr>
        <w:pStyle w:val="Heading2"/>
      </w:pPr>
      <w:r>
        <w:t>Section 8: Pharmacology and Toxicology</w:t>
      </w:r>
    </w:p>
    <w:p>
      <w:r>
        <w:t>**8.1 Introduction**</w:t>
      </w:r>
    </w:p>
    <w:p>
      <w:r>
        <w:t>IND Application: Sample_Drug is a novel small molecule with the SMILES structure: CCOc1ccc(cc1)C(=O)N2CCC(CC2)c3c[nH]c4c3cccc4. It belongs to the small molecule pharmacologic class and is being developed for the therapeutic indication of oncology.</w:t>
      </w:r>
    </w:p>
    <w:p>
      <w:r>
        <w:t>**8.2 Non-Clinical Pharmacology**</w:t>
      </w:r>
    </w:p>
    <w:p>
      <w:r>
        <w:t>**Interspecies PK Comparison (Rat, Dog, Monkey vs Human)**</w:t>
      </w:r>
    </w:p>
    <w:p>
      <w:r>
        <w:t>No experimental non-clinical pharmacokinetic data are available for direct interspecies comparison. In-silico predictions for animal models are provided below, indicating a lack of specific experimental values.</w:t>
      </w:r>
    </w:p>
    <w:p>
      <w:r>
        <w:t>| Species | Clearance (mL/min/kg) | Vss (L/kg) | Fup (%) |</w:t>
      </w:r>
    </w:p>
    <w:p>
      <w:r>
        <w:t>|:---|:---|:---|</w:t>
      </w:r>
    </w:p>
    <w:p>
      <w:r>
        <w:t>| Rat | None | None | None% |</w:t>
      </w:r>
    </w:p>
    <w:p>
      <w:r>
        <w:t>| Dog | None | None | None% |</w:t>
      </w:r>
    </w:p>
    <w:p>
      <w:r>
        <w:t>| Monkey | None | None | None% |</w:t>
      </w:r>
    </w:p>
    <w:p>
      <w:r>
        <w:t>**Allometric Scaling Justification**</w:t>
      </w:r>
    </w:p>
    <w:p>
      <w:r>
        <w:t>[PLACEHOLDER: Allometric scaling justification for interspecies extrapolation, if applicable, given the lack of non-clinical experimental data.]</w:t>
      </w:r>
    </w:p>
    <w:p>
      <w:r>
        <w:t>**8.3 Pharmacokinetics**</w:t>
      </w:r>
    </w:p>
    <w:p>
      <w:r>
        <w:t>The pharmacokinetic profile of IND Application: Sample_Drug has been characterized through in-silico predictions utilizing an mPBPK model.</w:t>
      </w:r>
    </w:p>
    <w:p>
      <w:r>
        <w:t>| Parameter | Predicted Value | Unit |</w:t>
      </w:r>
    </w:p>
    <w:p>
      <w:r>
        <w:t>|:---|:---|:---|</w:t>
      </w:r>
    </w:p>
    <w:p>
      <w:r>
        <w:t>| Cmax | 1500.0 | ng/mL |</w:t>
      </w:r>
    </w:p>
    <w:p>
      <w:r>
        <w:t>| AUC (0-∞) | 25000.0 | ng·h/mL |</w:t>
      </w:r>
    </w:p>
    <w:p>
      <w:r>
        <w:t>| Terminal Half-life | 12.0 | hours |</w:t>
      </w:r>
    </w:p>
    <w:p>
      <w:r>
        <w:t>| Target Occupancy at Trough | 0.0 | % |</w:t>
      </w:r>
    </w:p>
    <w:p>
      <w:r>
        <w:t>| Volume of Distribution | 0.5 | L/kg |</w:t>
      </w:r>
    </w:p>
    <w:p>
      <w:r>
        <w:t>| Clearance | N/A | mL/min/kg |</w:t>
      </w:r>
    </w:p>
    <w:p>
      <w:r>
        <w:t>| Half-life | 12.0 | h |</w:t>
      </w:r>
    </w:p>
    <w:p>
      <w:r>
        <w:t>| Fraction Unbound | N/A% | |</w:t>
      </w:r>
    </w:p>
    <w:p>
      <w:r>
        <w:t>These computational analyses suggest a terminal half-life of 12.0 hours, which supports a once-daily dosing regimen. The predicted Cmax and AUC (0-∞) values indicate systemic exposure. These are in-silico predictions and require experimental validation in human subjects.</w:t>
      </w:r>
    </w:p>
    <w:p>
      <w:r>
        <w:t>**8.4 Toxicology**</w:t>
      </w:r>
    </w:p>
    <w:p>
      <w:r>
        <w:t>Toxicology assessments for IND Application: Sample_Drug have been performed using in-silico methods, specifically a QSAR model.</w:t>
      </w:r>
    </w:p>
    <w:p>
      <w:r>
        <w:t>- **Overall Risk:** Computational analysis predicts no significant risks associated with IND Application: Sample_Drug.</w:t>
      </w:r>
    </w:p>
    <w:p>
      <w:r>
        <w:t>- **Hepatotoxicity:** Structural alert analysis computationally predicts a low risk of hepatotoxicity.</w:t>
      </w:r>
    </w:p>
    <w:p>
      <w:r>
        <w:t>- **Genotoxicity:** The in-silico Ames test prediction for genotoxicity was negative.</w:t>
      </w:r>
    </w:p>
    <w:p>
      <w:r>
        <w:t>These computational predictions suggest a favorable toxicology profile for IND Application: Sample_Drug. However, these are predictive models and require confirmation through standard in-vivo toxicology studies.</w:t>
      </w:r>
    </w:p>
    <w:p>
      <w:r>
        <w:t>**8.5 Safety Pharmacology**</w:t>
      </w:r>
    </w:p>
    <w:p>
      <w:r>
        <w:t>- **hERG Assessment:** The hERG IC50 safety margin is computationally predicted to be 30.0x, which is considered acceptable. This suggests a low potential for hERG channel inhibition and associated cardiac repolarization abnormalities.</w:t>
      </w:r>
    </w:p>
    <w:p>
      <w:r>
        <w:t>- **Cardiovascular (CV) Safety:** Based on the acceptable hERG safety margin, the computational assessment indicates a low risk for CV safety concerns.</w:t>
      </w:r>
    </w:p>
    <w:p>
      <w:r>
        <w:t>- **Other Safety Pharmacology:** [PLACEHOLDER: Description of other safety pharmacology assessments, if available, e.g., CNS, respiratory.]</w:t>
      </w:r>
    </w:p>
    <w:p>
      <w:r>
        <w:t>**8.6 GLP Compliance Statement**</w:t>
      </w:r>
    </w:p>
    <w:p>
      <w:r>
        <w:t>[PLACEHOLDER: A statement confirming that all non-clinical laboratory studies were conducted in compliance with the FDA's Good Laboratory Practice (GLP) regulations (21 CFR Part 58), or a justification for non-compliance.]</w:t>
      </w:r>
    </w:p>
    <w:p>
      <w:r>
        <w:t>**8.6 Evaluator Statement**</w:t>
      </w:r>
    </w:p>
    <w:p>
      <w:r>
        <w:t>[PLACEHOLDER: A statement from the evaluator regarding the adequacy of the non-clinical data to support the proposed clinical trial.]</w:t>
      </w:r>
    </w:p>
    <w:p>
      <w:r>
        <w:t>**8.7 References**</w:t>
      </w:r>
    </w:p>
    <w:p>
      <w:r>
        <w:t>[PLACEHOLDER: List of all references cited in this section.]</w:t>
      </w:r>
    </w:p>
    <w:p>
      <w:r>
        <w:br w:type="page"/>
      </w:r>
    </w:p>
    <w:p>
      <w:r>
        <w:rPr>
          <w:b/>
        </w:rPr>
        <w:t>DISCLAIMER: This document is an AI-generated draft for prototype demonstration purposes only. It does NOT replace experimental data or professional regulatory review. Verify all values against original study reports.</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