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IND APPLICATION: IND Application: Test Drug A</w:t>
      </w:r>
    </w:p>
    <w:p>
      <w:r>
        <w:t>---</w:t>
      </w:r>
    </w:p>
    <w:p>
      <w:pPr>
        <w:pStyle w:val="Heading2"/>
      </w:pPr>
      <w:r>
        <w:t>Section 1: Cover Page (FDA Form 1571)</w:t>
      </w:r>
    </w:p>
    <w:p>
      <w:r>
        <w:t>**DEPARTMENT OF HEALTH AND HUMAN SERVICES**</w:t>
      </w:r>
    </w:p>
    <w:p>
      <w:r>
        <w:t>**FOOD AND DRUG ADMINISTRATION**</w:t>
      </w:r>
    </w:p>
    <w:p>
      <w:r>
        <w:t>**INVESTIGATIONAL NEW DRUG APPLICATION (IND)**</w:t>
      </w:r>
    </w:p>
    <w:p>
      <w:r>
        <w:t>| Field | Detail |</w:t>
      </w:r>
    </w:p>
    <w:p>
      <w:r>
        <w:t>|:---|:---|</w:t>
      </w:r>
    </w:p>
    <w:p>
      <w:r>
        <w:t>| **1. APPLICANT INFORMATION** | |</w:t>
      </w:r>
    </w:p>
    <w:p>
      <w:r>
        <w:t>| Name | [Applicant Name - To Be Filled] |</w:t>
      </w:r>
    </w:p>
    <w:p>
      <w:r>
        <w:t>| Address | [Applicant Address - To Be Filled] |</w:t>
      </w:r>
    </w:p>
    <w:p>
      <w:r>
        <w:t>| Phone | [Phone Number - To Be Filled] |</w:t>
      </w:r>
    </w:p>
    <w:p>
      <w:r>
        <w:t>| **2. DRUG IDENTIFICATION** | |</w:t>
      </w:r>
    </w:p>
    <w:p>
      <w:r>
        <w:t>| Drug Name | IND Application: Test Drug A |</w:t>
      </w:r>
    </w:p>
    <w:p>
      <w:r>
        <w:t>| Drug Class | Small Molecule |</w:t>
      </w:r>
    </w:p>
    <w:p>
      <w:r>
        <w:t>| Therapeutic Indication | Oncology |</w:t>
      </w:r>
    </w:p>
    <w:p>
      <w:r>
        <w:t>| **3. CLINICAL PHASE** | |</w:t>
      </w:r>
    </w:p>
    <w:p>
      <w:r>
        <w:t>| Phase | Phase 1 |</w:t>
      </w:r>
    </w:p>
    <w:p>
      <w:r>
        <w:t>| **4. APPLICATION DATE** | |</w:t>
      </w:r>
    </w:p>
    <w:p>
      <w:r>
        <w:t>| Date | 2026-02-05 |</w:t>
      </w:r>
    </w:p>
    <w:p>
      <w:r>
        <w:t>**5. SPONSOR COMMITMENTS (21 CFR 312.23)**</w:t>
      </w:r>
    </w:p>
    <w:p>
      <w:r>
        <w:t>The sponsor commits to the following:</w:t>
      </w:r>
    </w:p>
    <w:p>
      <w:r>
        <w:t>a. To conduct the investigation in accordance with all applicable regulatory requirements set forth in 21 CFR Part 312.</w:t>
      </w:r>
    </w:p>
    <w:p>
      <w:r>
        <w:t>b. To promptly report to the FDA any adverse effect that may reasonably be regarded as caused by or probably caused by the drug, and to report any findings from tests in laboratory animals that suggest a significant risk for human subjects.</w:t>
      </w:r>
    </w:p>
    <w:p>
      <w:r>
        <w:t>c. To ensure that the clinical investigators are qualified by training and experience to conduct the investigation and that they are aware of their obligations under 21 CFR Part 312.</w:t>
      </w:r>
    </w:p>
    <w:p>
      <w:r>
        <w:t>d. To obtain a signed investigator statement (Form FDA 1572) from each investigator.</w:t>
      </w:r>
    </w:p>
    <w:p>
      <w:r>
        <w:t>e. To maintain adequate records and to permit authorized FDA employees to have access to and copy and verify any records and reports relating to the investigation.</w:t>
      </w:r>
    </w:p>
    <w:p>
      <w:r>
        <w:t>---</w:t>
      </w:r>
    </w:p>
    <w:p>
      <w:pPr>
        <w:pStyle w:val="Heading2"/>
      </w:pPr>
      <w:r>
        <w:t>Section 2: Introduction and General Investigational Plan</w:t>
      </w:r>
    </w:p>
    <w:p>
      <w:r>
        <w:t>**Cover Sheet: Drug Summary**</w:t>
      </w:r>
    </w:p>
    <w:p>
      <w:r>
        <w:t>| Field | Detail |</w:t>
      </w:r>
    </w:p>
    <w:p>
      <w:r>
        <w:t>|:---|:---|</w:t>
      </w:r>
    </w:p>
    <w:p>
      <w:r>
        <w:t>| Drug Name | IND Application: Test Drug A |</w:t>
      </w:r>
    </w:p>
    <w:p>
      <w:r>
        <w:t>| Drug Class | Small Molecule |</w:t>
      </w:r>
    </w:p>
    <w:p>
      <w:r>
        <w:t>| Indication | Oncology |</w:t>
      </w:r>
    </w:p>
    <w:p>
      <w:r>
        <w:t>| Proposed Dose | 100.0 mg QD |</w:t>
      </w:r>
    </w:p>
    <w:p>
      <w:r>
        <w:t>| Clinical Phase | Phase 1 |</w:t>
      </w:r>
    </w:p>
    <w:p>
      <w:r>
        <w:t>| Expected Enrollment | 30 patients |</w:t>
      </w:r>
    </w:p>
    <w:p>
      <w:r>
        <w:t>| Study Duration | 12 weeks |</w:t>
      </w:r>
    </w:p>
    <w:p>
      <w:r>
        <w:t>**Introductory Statement**</w:t>
      </w:r>
    </w:p>
    <w:p>
      <w:r>
        <w:t>IND Application: Test Drug A is a novel small molecule drug candidate proposed for the treatment of oncology. The precise mechanism of action is currently [Mechanism of Action - To Be Determined]. This Investigational New Drug application seeks to initiate a Phase 1 clinical trial to evaluate the safety, tolerability, and pharmacokinetics of IND Application: Test Drug A in adult patients with oncology.</w:t>
      </w:r>
    </w:p>
    <w:p>
      <w:r>
        <w:t>**Scientific Rationale and Research Justification**</w:t>
      </w:r>
    </w:p>
    <w:p>
      <w:r>
        <w:t>Despite advances in oncology treatment, significant unmet medical needs persist for many patients. IND Application: Test Drug A represents a new therapeutic approach, targeting [Mechanism of Action - To Be Determined], which computational analysis suggests may offer a novel pathway for intervention in cancer progression. The development of this agent is justified by the potential to provide a new treatment option for patients with oncology, where current therapies may be limited in efficacy or associated with significant toxicities.</w:t>
      </w:r>
    </w:p>
    <w:p>
      <w:r>
        <w:t>**General Approach to Evaluation**</w:t>
      </w:r>
    </w:p>
    <w:p>
      <w:r>
        <w:t>The initial clinical evaluation of IND Application: Test Drug A will commence with a Phase 1 study designed to establish the safety, tolerability, and pharmacokinetic profile of the drug in adult patients with oncology. This will involve a dose-escalation design to identify a maximum tolerated dose (MTD) and/or a recommended Phase 2 dose (RP2D). Preliminary assessments of anti-tumor activity will also be conducted. Subsequent phases of development will aim to further characterize the efficacy and safety of IND Application: Test Drug A in larger patient populations, contingent upon favorable outcomes from the Phase 1 study.</w:t>
      </w:r>
    </w:p>
    <w:p>
      <w:r>
        <w:t>**First-Year Study Summary**</w:t>
      </w:r>
    </w:p>
    <w:p>
      <w:r>
        <w:t>The first year of the investigational plan will focus entirely on the execution and completion of the proposed Phase 1 clinical trial. This study is designed to enroll approximately 30 adult patients with oncology over a duration of 12 weeks. The primary objectives will be to assess the safety and tolerability of IND Application: Test Drug A, characterize its pharmacokinetic profile, and explore preliminary signals of efficacy. Data collected will inform future clinical development decisions, including dose selection and patient population for subsequent studies.</w:t>
      </w:r>
    </w:p>
    <w:p>
      <w:r>
        <w:t>**Risk Assessment**</w:t>
      </w:r>
    </w:p>
    <w:p>
      <w:r>
        <w:t>Based on available in-silico data, IND Application: Test Drug A appears to present a low overall risk profile. Computational toxicology predictions (QSAR model) indicate no significant risks. The hERG IC50 safety margin is predicted to be 30.0x, which is considered acceptable, suggesting a low risk for cardiac repolarization abnormalities. In-silico structural alert analysis suggests a low hepatotoxicity risk. Furthermore, computational genotoxicity (Ames) predictions were negative. The overall risk score is 75.0/100, indicating a low overall risk based on these predictive models. These assessments suggest that IND Application: Test Drug A can be safely administered to human subjects under close monitoring in a controlled clinical trial setting.</w:t>
      </w:r>
    </w:p>
    <w:p>
      <w:r>
        <w:t>---</w:t>
      </w:r>
    </w:p>
    <w:p>
      <w:pPr>
        <w:pStyle w:val="Heading2"/>
      </w:pPr>
      <w:r>
        <w:t>Section 3: Clinical Protocol</w:t>
      </w:r>
    </w:p>
    <w:p>
      <w:r>
        <w:t>**PROTOCOL TITLE:** A Phase 1, Open-Label Study to Evaluate the Safety, Tolerability, Pharmacokinetics, and Preliminary Efficacy of IND Application: Test Drug A in Adult Patients with Oncology.</w:t>
      </w:r>
    </w:p>
    <w:p>
      <w:r>
        <w:t>**PROTOCOL SYNOPSIS**</w:t>
      </w:r>
    </w:p>
    <w:p>
      <w:r>
        <w:t>| Field | Detail |</w:t>
      </w:r>
    </w:p>
    <w:p>
      <w:r>
        <w:t>|:---|:---|</w:t>
      </w:r>
    </w:p>
    <w:p>
      <w:r>
        <w:t>| **Study Phase** | Phase 1 |</w:t>
      </w:r>
    </w:p>
    <w:p>
      <w:r>
        <w:t>| **Drug Name** | IND Application: Test Drug A |</w:t>
      </w:r>
    </w:p>
    <w:p>
      <w:r>
        <w:t>| **Indication** | Oncology |</w:t>
      </w:r>
    </w:p>
    <w:p>
      <w:r>
        <w:t>| **Study Design** | Open-label, single-arm, dose-escalation |</w:t>
      </w:r>
    </w:p>
    <w:p>
      <w:r>
        <w:t>| **Target Population** | Adult patients with advanced oncology |</w:t>
      </w:r>
    </w:p>
    <w:p>
      <w:r>
        <w:t>| **Primary Objectives** | Assess safety and tolerability; characterize PK |</w:t>
      </w:r>
    </w:p>
    <w:p>
      <w:r>
        <w:t>| **Secondary Objectives** | Evaluate preliminary anti-tumor activity |</w:t>
      </w:r>
    </w:p>
    <w:p>
      <w:r>
        <w:t>| **Proposed Dose** | 100.0 mg QD (starting dose, subject to escalation) |</w:t>
      </w:r>
    </w:p>
    <w:p>
      <w:r>
        <w:t>| **Dosing Regimen** | Once daily (QD) |</w:t>
      </w:r>
    </w:p>
    <w:p>
      <w:r>
        <w:t>| **Expected Enrollment** | 30 patients |</w:t>
      </w:r>
    </w:p>
    <w:p>
      <w:r>
        <w:t>| **Study Duration** | Approximately 12 weeks per patient |</w:t>
      </w:r>
    </w:p>
    <w:p>
      <w:r>
        <w:t>| **Endpoints** | Safety (AEs, labs, vitals, ECGs); PK (Cmax, AUC, t1/2); Efficacy (RECIST 1.1) |</w:t>
      </w:r>
    </w:p>
    <w:p>
      <w:r>
        <w:t>**1. PRIMARY OBJECTIVES**</w:t>
      </w:r>
    </w:p>
    <w:p>
      <w:r>
        <w:t>* To assess the safety and tolerability of IND Application: Test Drug A in adult patients with oncology.</w:t>
      </w:r>
    </w:p>
    <w:p>
      <w:r>
        <w:t>* To characterize the pharmacokinetic profile of IND Application: Test Drug A following oral administration.</w:t>
      </w:r>
    </w:p>
    <w:p>
      <w:r>
        <w:t>**2. SECONDARY OBJECTIVES**</w:t>
      </w:r>
    </w:p>
    <w:p>
      <w:r>
        <w:t>* To evaluate preliminary anti-tumor activity of IND Application: Test Drug A.</w:t>
      </w:r>
    </w:p>
    <w:p>
      <w:r>
        <w:t>* To identify the maximum tolerated dose (MTD) and/or recommended Phase 2 dose (RP2D).</w:t>
      </w:r>
    </w:p>
    <w:p>
      <w:r>
        <w:t>**3. INVESTIGATOR INFORMATION**</w:t>
      </w:r>
    </w:p>
    <w:p>
      <w:r>
        <w:t>| Field | Detail |</w:t>
      </w:r>
    </w:p>
    <w:p>
      <w:r>
        <w:t>|:---|:---|</w:t>
      </w:r>
    </w:p>
    <w:p>
      <w:r>
        <w:t>| Principal Investigator | [Principal Investigator Name - To Be Filled] |</w:t>
      </w:r>
    </w:p>
    <w:p>
      <w:r>
        <w:t>| Credentials | [Credentials - To Be Filled] |</w:t>
      </w:r>
    </w:p>
    <w:p>
      <w:r>
        <w:t>| Institution | [Research Institution - To Be Filled] |</w:t>
      </w:r>
    </w:p>
    <w:p>
      <w:r>
        <w:t>| Institution Address | [Institution Address - To Be Filled] |</w:t>
      </w:r>
    </w:p>
    <w:p>
      <w:r>
        <w:t>| IRB/Ethics Committee | [IRB Name - To Be Filled] |</w:t>
      </w:r>
    </w:p>
    <w:p>
      <w:r>
        <w:t>**4. PATIENT SELECTION CRITERIA**</w:t>
      </w:r>
    </w:p>
    <w:p>
      <w:r>
        <w:t>**4.1. Inclusion Criteria:**</w:t>
      </w:r>
    </w:p>
    <w:p>
      <w:r>
        <w:t>*   Adult patients, male or female, ≥18 years of age.</w:t>
      </w:r>
    </w:p>
    <w:p>
      <w:r>
        <w:t>*   Histologically or cytologically confirmed diagnosis of advanced or metastatic solid tumor malignancy that is refractory to standard therapy or for which no standard therapy exists.</w:t>
      </w:r>
    </w:p>
    <w:p>
      <w:r>
        <w:t>*   Measurable disease, as defined by Response Evaluation Criteria in Solid Tumors (RECIST) version 1.1.</w:t>
      </w:r>
    </w:p>
    <w:p>
      <w:r>
        <w:t>*   Eastern Cooperative Oncology Group (ECOG) performance status of 0 or 1.</w:t>
      </w:r>
    </w:p>
    <w:p>
      <w:r>
        <w:t>*   Adequate organ function, defined as:</w:t>
      </w:r>
    </w:p>
    <w:p>
      <w:r>
        <w:t>*   Absolute neutrophil count (ANC) ≥ 1.5 x 10^9/L</w:t>
      </w:r>
    </w:p>
    <w:p>
      <w:r>
        <w:t>*   Platelets ≥ 100 x 10^9/L</w:t>
      </w:r>
    </w:p>
    <w:p>
      <w:r>
        <w:t>*   Hemoglobin ≥ 9.0 g/dL</w:t>
      </w:r>
    </w:p>
    <w:p>
      <w:r>
        <w:t>*   Total bilirubin ≤ 1.5 x upper limit of normal (ULN) (≤ 3.0 x ULN for patients with Gilbert's syndrome)</w:t>
      </w:r>
    </w:p>
    <w:p>
      <w:r>
        <w:t>*   Aspartate aminotransferase (AST) and Alanine aminotransferase (ALT) ≤ 2.5 x ULN (≤ 5 x ULN for patients with liver metastases)</w:t>
      </w:r>
    </w:p>
    <w:p>
      <w:r>
        <w:t>*   Serum creatinine ≤ 1.5 x ULN OR calculated creatinine clearance ≥ 60 mL/min (Cockcroft-Gault formula).</w:t>
      </w:r>
    </w:p>
    <w:p>
      <w:r>
        <w:t>*   Life expectancy of at least 3 months.</w:t>
      </w:r>
    </w:p>
    <w:p>
      <w:r>
        <w:t>*   Ability to understand and willingness to sign a written informed consent form.</w:t>
      </w:r>
    </w:p>
    <w:p>
      <w:r>
        <w:t>**4.2. Exclusion Criteria:**</w:t>
      </w:r>
    </w:p>
    <w:p>
      <w:r>
        <w:t>*   Prior treatment with IND Application: Test Drug A or any agent with a similar mechanism of action.</w:t>
      </w:r>
    </w:p>
    <w:p>
      <w:r>
        <w:t>*   Receipt of anti-cancer therapy (chemotherapy, radiation, immunotherapy, biologic therapy, or investigational agents) within 4 weeks or 5 half-lives (whichever is shorter) prior to the first dose of study drug.</w:t>
      </w:r>
    </w:p>
    <w:p>
      <w:r>
        <w:t>*   Major surgery within 4 weeks prior to the first dose of study drug.</w:t>
      </w:r>
    </w:p>
    <w:p>
      <w:r>
        <w:t>*   Known active central nervous system (CNS) metastases or leptomeningeal carcinomatosis.</w:t>
      </w:r>
    </w:p>
    <w:p>
      <w:r>
        <w:t>*   Uncontrolled intercurrent illness, including, but not limited to, symptomatic congestive heart failure, unstable angina pectoris, cardiac arrhythmia, or psychiatric illness/social situations that would limit compliance with study requirements.</w:t>
      </w:r>
    </w:p>
    <w:p>
      <w:r>
        <w:t>*   Pregnant or breastfeeding women. Women of childbearing potential must have a negative serum pregnancy test within 7 days prior to the first dose of study drug.</w:t>
      </w:r>
    </w:p>
    <w:p>
      <w:r>
        <w:t>*   Men and women of childbearing potential unwilling to use highly effective contraception during the study and for at least 3 months after the last dose of study drug.</w:t>
      </w:r>
    </w:p>
    <w:p>
      <w:r>
        <w:t>*   Known history of human immunodeficiency virus (HIV) infection, active hepatitis B, or active hepatitis C.</w:t>
      </w:r>
    </w:p>
    <w:p>
      <w:r>
        <w:t>*   Any other condition that, in the opinion of the investigator, would confound the study results or jeopardize the safety of the patient.</w:t>
      </w:r>
    </w:p>
    <w:p>
      <w:r>
        <w:t>**5. STUDY DESIGN**</w:t>
      </w:r>
    </w:p>
    <w:p>
      <w:r>
        <w:t>This will be a Phase 1, open-label, single-arm, dose-escalation study. Patients will be enrolled into sequential cohorts, with each cohort receiving an escalating dose of IND Application: Test Drug A. The study will employ a 3+3 dose-escalation design to determine the MTD and/or RP2D. Patients will receive IND Application: Test Drug A orally once daily (QD). Treatment will continue until disease progression, unacceptable toxicity, or withdrawal of consent.</w:t>
      </w:r>
    </w:p>
    <w:p>
      <w:r>
        <w:t>**6. DOSING REGIMEN**</w:t>
      </w:r>
    </w:p>
    <w:p>
      <w:r>
        <w:t>The proposed starting dose for IND Application: Test Drug A is 100.0 mg administered orally once daily (QD). This dose is selected based on in-silico pharmacokinetic predictions (mPBPK model) which suggest that a 100.0 mg dose may achieve a Cmax of 1500.0 ng/mL and an AUC (0-∞) of 25000.0 ng·h/mL, with a terminal half-life of 12.0 hours. These predicted values indicate that the proposed dosing regimen may provide adequate systemic exposure to achieve a therapeutic effect while maintaining an acceptable safety margin, as suggested by non-clinical data. Dose escalation will proceed in predefined increments based on the 3+3 design, with safety and tolerability data from preceding cohorts informing subsequent dose levels.</w:t>
      </w:r>
    </w:p>
    <w:p>
      <w:r>
        <w:t>**7. SAFETY MONITORING PLAN**</w:t>
      </w:r>
    </w:p>
    <w:p>
      <w:r>
        <w:t>Safety will be continuously monitored throughout the study.</w:t>
      </w:r>
    </w:p>
    <w:p>
      <w:r>
        <w:t>*   **Adverse Events (AEs):** All AEs will be collected, graded according to Common Terminology Criteria for Adverse Events (CTCAE) version 5.0, and assessed for causality. Serious Adverse Events (SAEs) will be reported promptly.</w:t>
      </w:r>
    </w:p>
    <w:p>
      <w:r>
        <w:t>*   **Clinical Laboratory Assessments:** Hematology, serum chemistry, and urinalysis will be performed at screening, weekly during the first cycle, and then every 2-4 weeks thereafter, or as clinically indicated.</w:t>
      </w:r>
    </w:p>
    <w:p>
      <w:r>
        <w:t>*   **Vital Signs:** Blood pressure, heart rate, respiratory rate, and body temperature will be measured at each study visit.</w:t>
      </w:r>
    </w:p>
    <w:p>
      <w:r>
        <w:t>*   **Electrocardiograms (ECGs):** 12-lead ECGs will be performed at screening, pre-dose on Day 1 of each cycle, and as clinically indicated. Given the acceptable hERG IC50 safety margin (30.0x), a low risk of cardiac repolarization abnormalities is predicted, but continuous monitoring is warranted.</w:t>
      </w:r>
    </w:p>
    <w:p>
      <w:r>
        <w:t>*   **Physical Examinations:** Comprehensive physical examinations will be performed at screening and at regular intervals throughout the study.</w:t>
      </w:r>
    </w:p>
    <w:p>
      <w:r>
        <w:t>*   **Concomitant Medications:** All concomitant medications will be recorded.</w:t>
      </w:r>
    </w:p>
    <w:p>
      <w:r>
        <w:t>**8. EFFICACY ASSESSMENTS**</w:t>
      </w:r>
    </w:p>
    <w:p>
      <w:r>
        <w:t>Preliminary efficacy will be assessed by evaluating anti-tumor activity using RECIST 1.1 criteria. Tumor assessments (CT or MRI scans) will be performed at screening and every 6-8 weeks thereafter, or as clinically indicated, until disease progression.</w:t>
      </w:r>
    </w:p>
    <w:p>
      <w:r>
        <w:t>**9. STATISTICAL CONSIDERATIONS**</w:t>
      </w:r>
    </w:p>
    <w:p>
      <w:r>
        <w:t>This Phase 1 study is primarily descriptive. No formal hypothesis testing will be performed.</w:t>
      </w:r>
    </w:p>
    <w:p>
      <w:r>
        <w:t>*   **Safety and Tolerability:** Summary statistics (frequency, percentage) will be used to describe the incidence, severity, and relatedness of AEs.</w:t>
      </w:r>
    </w:p>
    <w:p>
      <w:r>
        <w:t>*   **Pharmacokinetics:** PK parameters (Cmax, AUC, t1/2, etc.) will be calculated using non-compartmental analysis and summarized using descriptive statistics (mean, standard deviation, median, range).</w:t>
      </w:r>
    </w:p>
    <w:p>
      <w:r>
        <w:t>*   **Efficacy:** Objective response rate (ORR), disease control rate (DCR), duration of response (DOR), and progression-free survival (PFS) will be summarized descriptively.</w:t>
      </w:r>
    </w:p>
    <w:p>
      <w:r>
        <w:t>---</w:t>
      </w:r>
    </w:p>
    <w:p>
      <w:pPr>
        <w:pStyle w:val="Heading2"/>
      </w:pPr>
      <w:r>
        <w:t>Section 5: Investigator's Brochure</w:t>
      </w:r>
    </w:p>
    <w:p>
      <w:r>
        <w:t>**1. DRUG SUBSTANCE DESCRIPTION**</w:t>
      </w:r>
    </w:p>
    <w:p>
      <w:r>
        <w:t>IND Application: Test Drug A is a novel small molecule drug candidate. Its chemical structure is represented by the SMILES notation: CCO. It belongs to the drug class of small molecules.</w:t>
      </w:r>
    </w:p>
    <w:p>
      <w:r>
        <w:t>**2. PHARMACOLOGY SUMMARY**</w:t>
      </w:r>
    </w:p>
    <w:p>
      <w:r>
        <w:t>IND Application: Test Drug A is being developed for the treatment of oncology. Its proposed mechanism of action is [Mechanism of Action - To Be Determined]. Computational analysis predicts that this mechanism may interfere with key pathways involved in cancer cell proliferation or survival. Further in-vitro and in-vivo studies are required to fully elucidate and confirm the precise pharmacological activity of IND Application: Test Drug A.</w:t>
      </w:r>
    </w:p>
    <w:p>
      <w:r>
        <w:t>**3. PHARMACOKINETICS SUMMARY**</w:t>
      </w:r>
    </w:p>
    <w:p>
      <w:r>
        <w:t>The pharmacokinetic profile of IND Application: Test Drug A has been characterized through in-silico predictions using a physiologically-based pharmacokinetic (mPBPK) model.</w:t>
      </w:r>
    </w:p>
    <w:p>
      <w:r>
        <w:t>| Parameter | Predicted Value | Unit |</w:t>
      </w:r>
    </w:p>
    <w:p>
      <w:r>
        <w:t>|:---|:---|:---|</w:t>
      </w:r>
    </w:p>
    <w:p>
      <w:r>
        <w:t>| Cmax | 1500.0 | ng/mL |</w:t>
      </w:r>
    </w:p>
    <w:p>
      <w:r>
        <w:t>| AUC (0-∞) | 25000.0 | ng·h/mL |</w:t>
      </w:r>
    </w:p>
    <w:p>
      <w:r>
        <w:t>| Terminal Half-life | 12.0 | hours |</w:t>
      </w:r>
    </w:p>
    <w:p>
      <w:r>
        <w:t>| Target Occupancy at Trough | 0.0 | % |</w:t>
      </w:r>
    </w:p>
    <w:p>
      <w:r>
        <w:t>| Volume of Distribution | 0.5 | L/kg |</w:t>
      </w:r>
    </w:p>
    <w:p>
      <w:r>
        <w:t>| Clearance | [PLACEHOLDER: Clearance data not available from mPBPK model] | mL/min/kg |</w:t>
      </w:r>
    </w:p>
    <w:p>
      <w:r>
        <w:t>| Half-life | 12.0 | h |</w:t>
      </w:r>
    </w:p>
    <w:p>
      <w:r>
        <w:t>| Fraction Unbound | [PLACEHOLDER: Fraction Unbound data not available from mPBPK model] | % |</w:t>
      </w:r>
    </w:p>
    <w:p>
      <w:r>
        <w:t>These in-silico predictions suggest that IND Application: Test Drug A, when administered at a dose of 100.0 mg, may achieve systemic exposures (Cmax, AUC) that are potentially therapeutically relevant. The predicted terminal half-life of 12.0 hours supports a once-daily dosing regimen. Experimental pharmacokinetic data in humans will be crucial to confirm these computational predictions.</w:t>
      </w:r>
    </w:p>
    <w:p>
      <w:r>
        <w:t>**4. TOXICOLOGY SUMMARY**</w:t>
      </w:r>
    </w:p>
    <w:p>
      <w:r>
        <w:t>Non-clinical toxicology assessments for IND Application: Test Drug A have primarily relied on in-silico predictions. A Quantitative Structure-Activity Relationship (QSAR) model was utilized to predict potential toxicities.</w:t>
      </w:r>
    </w:p>
    <w:p>
      <w:r>
        <w:t>*   **Overall Risk:** The QSAR model predicts no significant risks associated with IND Application: Test Drug A.</w:t>
      </w:r>
    </w:p>
    <w:p>
      <w:r>
        <w:t>*   **Genotoxicity:** In-silico prediction for genotoxicity (Ames test) was negative.</w:t>
      </w:r>
    </w:p>
    <w:p>
      <w:r>
        <w:t>*   **Hepatotoxicity:** Structural alert analysis suggests a low hepatotoxicity risk.</w:t>
      </w:r>
    </w:p>
    <w:p>
      <w:r>
        <w:t>*   **Cardiac Safety:** The hERG IC50 safety margin is computationally predicted to be 30.0x, indicating an acceptable margin and a low predicted risk for cardiac repolarization effects.</w:t>
      </w:r>
    </w:p>
    <w:p>
      <w:r>
        <w:t>The overall risk score derived from these computational models is 75.0/100, which suggests a low overall toxicity profile. It is important to note that these are in-silico predictions, and traditional in-vivo toxicology studies are required to fully characterize the safety profile of IND Application: Test Drug A.</w:t>
      </w:r>
    </w:p>
    <w:p>
      <w:r>
        <w:t>**5. KNOWN RISKS AND PRECAUTIONARY MEASURES**</w:t>
      </w:r>
    </w:p>
    <w:p>
      <w:r>
        <w:t>Based on the available in-silico data, IND Application: Test Drug A is predicted to have a low risk profile.</w:t>
      </w:r>
    </w:p>
    <w:p>
      <w:r>
        <w:t>*   **Cardiac Risk:** The computational hERG IC50 safety margin of 30.0x suggests a low risk of cardiac repolarization abnormalities. However, ECG monitoring will be implemented in the clinical trial as a precautionary measure.</w:t>
      </w:r>
    </w:p>
    <w:p>
      <w:r>
        <w:t>*   **Hepatotoxicity:** The in-silico structural alert analysis indicates a low hepatotoxicity risk. Liver function tests will be routinely monitored during clinical trials.</w:t>
      </w:r>
    </w:p>
    <w:p>
      <w:r>
        <w:t>*   **Genotoxicity:** In-silico predictions for genotoxicity were negative.</w:t>
      </w:r>
    </w:p>
    <w:p>
      <w:r>
        <w:t>*   **General Toxicity:** While QSAR models predict no significant risks, the potential for unforeseen adverse events inherent to any investigational drug exists. Close monitoring for all adverse events will be conducted in the clinical trial.</w:t>
      </w:r>
    </w:p>
    <w:p>
      <w:r>
        <w:t>Precautionary measures for the Phase 1 clinical trial include careful patient selection, dose escalation with safety monitoring, and comprehensive assessment of adverse events, laboratory parameters, and vital signs.</w:t>
      </w:r>
    </w:p>
    <w:p>
      <w:r>
        <w:t>---</w:t>
      </w:r>
    </w:p>
    <w:p>
      <w:pPr>
        <w:pStyle w:val="Heading2"/>
      </w:pPr>
      <w:r>
        <w:t>Section 8: Pharmacology and Toxicology</w:t>
      </w:r>
    </w:p>
    <w:p>
      <w:r>
        <w:t>**8.1 Introduction**</w:t>
      </w:r>
    </w:p>
    <w:p>
      <w:r>
        <w:t>IND Application: Test Drug A is a small molecule drug candidate with the SMILES notation CCO. It is being developed for the therapeutic indication of oncology. The pharmacologic class is currently defined by its small molecule nature, with the specific mechanism of action [Mechanism of Action - To Be Determined]. This section summarizes the available non-clinical pharmacology and toxicology data, primarily derived from in-silico models.</w:t>
      </w:r>
    </w:p>
    <w:p>
      <w:r>
        <w:t>**8.2 Non-Clinical Pharmacology**</w:t>
      </w:r>
    </w:p>
    <w:p>
      <w:r>
        <w:t>**Interspecies PK Comparison (Rat, Dog, Monkey vs Human)**</w:t>
      </w:r>
    </w:p>
    <w:p>
      <w:r>
        <w:t>Non-clinical pharmacokinetic data from animal models (Rat, Dog, Monkey) are not available for direct comparison. The provided data indicates "None" for Clearance, Vss, and Fup in these species. Therefore, a direct interspecies pharmacokinetic comparison based on experimental animal data cannot be performed at this time.</w:t>
      </w:r>
    </w:p>
    <w:p>
      <w:r>
        <w:t>| Species | Clearance (mL/min/kg) | Vss (L/kg) | Fup (%) |</w:t>
      </w:r>
    </w:p>
    <w:p>
      <w:r>
        <w:t>|:---|:---|:---|:---|</w:t>
      </w:r>
    </w:p>
    <w:p>
      <w:r>
        <w:t>| Rat | None | None | None% |</w:t>
      </w:r>
    </w:p>
    <w:p>
      <w:r>
        <w:t>| Dog | None | None | None% |</w:t>
      </w:r>
    </w:p>
    <w:p>
      <w:r>
        <w:t>| Monkey | None | None | None% |</w:t>
      </w:r>
    </w:p>
    <w:p>
      <w:r>
        <w:t>**Allometric Scaling Justification**</w:t>
      </w:r>
    </w:p>
    <w:p>
      <w:r>
        <w:t>Due to the absence of experimental non-clinical pharmacokinetic data in multiple animal species, traditional allometric scaling for predicting human pharmacokinetics cannot be performed. Human pharmacokinetic predictions are currently based solely on the in-silico mPBPK model.</w:t>
      </w:r>
    </w:p>
    <w:p>
      <w:r>
        <w:t>**8.3 Pharmacokinetics**</w:t>
      </w:r>
    </w:p>
    <w:p>
      <w:r>
        <w:t>The pharmacokinetic profile of IND Application: Test Drug A has been computationally predicted using an in-silico mPBPK model. These predictions provide an initial understanding of the drug's disposition in humans.</w:t>
      </w:r>
    </w:p>
    <w:p>
      <w:r>
        <w:t>| Parameter | Predicted Value | Unit |</w:t>
      </w:r>
    </w:p>
    <w:p>
      <w:r>
        <w:t>|:---|:---|:---|</w:t>
      </w:r>
    </w:p>
    <w:p>
      <w:r>
        <w:t>| Cmax | 1500.0 | ng/mL |</w:t>
      </w:r>
    </w:p>
    <w:p>
      <w:r>
        <w:t>| AUC (0-∞) | 25000.0 | ng·h/mL |</w:t>
      </w:r>
    </w:p>
    <w:p>
      <w:r>
        <w:t>| Terminal Half-life | 12.0 | hours |</w:t>
      </w:r>
    </w:p>
    <w:p>
      <w:r>
        <w:t>| Target Occupancy at Trough | 0.0 | % |</w:t>
      </w:r>
    </w:p>
    <w:p>
      <w:r>
        <w:t>| Volume of Distribution | 0.5 | L/kg |</w:t>
      </w:r>
    </w:p>
    <w:p>
      <w:r>
        <w:t>| Clearance | [PLACEHOLDER: Clearance data not available from mPBPK model] | mL/min/kg |</w:t>
      </w:r>
    </w:p>
    <w:p>
      <w:r>
        <w:t>| Half-life | 12.0 | h |</w:t>
      </w:r>
    </w:p>
    <w:p>
      <w:r>
        <w:t>| Fraction Unbound | [PLACEHOLDER: Fraction Unbound data not available from mPBPK model] | % |</w:t>
      </w:r>
    </w:p>
    <w:p>
      <w:r>
        <w:t>The in-silico model suggests that IND Application: Test Drug A exhibits a terminal half-life of 12.0 hours, which indicates suitability for once-daily dosing. The predicted volume of distribution is 0.5 L/kg. The Cmax and AUC (0-∞) values suggest that the proposed 100.0 mg dose may achieve systemic exposure. Further experimental pharmacokinetic studies in humans are required to validate these computational predictions.</w:t>
      </w:r>
    </w:p>
    <w:p>
      <w:r>
        <w:t>**8.4 Toxicology**</w:t>
      </w:r>
    </w:p>
    <w:p>
      <w:r>
        <w:t>Non-clinical toxicology assessments for IND Application: Test Drug A have been conducted using in-silico predictive models, specifically a QSAR model.</w:t>
      </w:r>
    </w:p>
    <w:p>
      <w:r>
        <w:t>| Assessment | Value | Interpretation |</w:t>
      </w:r>
    </w:p>
    <w:p>
      <w:r>
        <w:t>|:---|:---|:---|</w:t>
      </w:r>
    </w:p>
    <w:p>
      <w:r>
        <w:t>| hERG IC50 Safety Margin | 30.0x | Acceptable |</w:t>
      </w:r>
    </w:p>
    <w:p>
      <w:r>
        <w:t>| Hepatotoxicity Risk | Low | Structural alert analysis |</w:t>
      </w:r>
    </w:p>
    <w:p>
      <w:r>
        <w:t>| Genotoxicity (Ames) | Negative | In-silico prediction |</w:t>
      </w:r>
    </w:p>
    <w:p>
      <w:r>
        <w:t>| Overall Risk Score | 75.0/100 | Low |</w:t>
      </w:r>
    </w:p>
    <w:p>
      <w:r>
        <w:t>The QSAR model predicts no significant toxicological risks associated with IND Application: Test Drug A. Specifically, computational analysis indicates a low risk for hepatotoxicity based on structural alerts and a negative prediction for genotoxicity in the Ames test. The hERG IC50 safety margin of 30.0x is considered acceptable, suggesting a low potential for cardiac repolarization effects. The overall risk score of 75.0/100 further supports a low predicted toxicity profile. These in-silico findings suggest that IND Application: Test Drug A may be well-tolerated in a clinical setting, though experimental toxicology studies are necessary to confirm these predictions.</w:t>
      </w:r>
    </w:p>
    <w:p>
      <w:r>
        <w:t>**8.5 Safety Pharmacology**</w:t>
      </w:r>
    </w:p>
    <w:p>
      <w:r>
        <w:t>**hERG Assessment and Cardiovascular Safety:**</w:t>
      </w:r>
    </w:p>
    <w:p>
      <w:r>
        <w:t>Computational analysis predicts an hERG IC50 safety margin of 30.0x for IND Application: Test Drug A. This value is considered acceptable and suggests a low potential for drug-induced QT prolongation and associated cardiovascular risks. This in-silico assessment indicates that IND Application: Test Drug A is unlikely to significantly interfere with cardiac repolarization at anticipated therapeutic concentrations. However, clinical monitoring of ECGs will be performed during the Phase 1 study to confirm this prediction.</w:t>
      </w:r>
    </w:p>
    <w:p>
      <w:r>
        <w:t>**8.6 GLP Compliance Statement**</w:t>
      </w:r>
    </w:p>
    <w:p>
      <w:r>
        <w:t>[PLACEHOLDER: A statement regarding GLP compliance for non-clinical studies, if applicable. As current data is in-silico, this section would typically state that no GLP studies have been conducted to date, or specify if any future studies will be GLP-compliant.]</w:t>
      </w:r>
    </w:p>
    <w:p>
      <w:r>
        <w:t>**8.6 Evaluator Statement**</w:t>
      </w:r>
    </w:p>
    <w:p>
      <w:r>
        <w:t>[PLACEHOLDER: This section is typically reserved for an FDA reviewer's assessment of the non-clinical data. As this is an applicant-generated document, this section is a placeholder.]</w:t>
      </w:r>
    </w:p>
    <w:p>
      <w:r>
        <w:t>**8.7 References**</w:t>
      </w:r>
    </w:p>
    <w:p>
      <w:r>
        <w:t>[PLACEHOLDER: List of references cited in the Pharmacology and Toxicology sections.]</w:t>
      </w:r>
    </w:p>
    <w:p>
      <w:r>
        <w:br w:type="page"/>
      </w:r>
    </w:p>
    <w:p>
      <w:r>
        <w:rPr>
          <w:b/>
        </w:rPr>
        <w:t>DISCLAIMER: This document is an AI-generated draft for prototype demonstration purposes only. It does NOT replace experimental data or professional regulatory review. Verify all values against original study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