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IND APPLICATION: IND Application: Test Drug A</w:t>
      </w:r>
    </w:p>
    <w:p>
      <w:pPr>
        <w:pStyle w:val="Heading2"/>
      </w:pPr>
      <w:r>
        <w:t>Section 1: Cover Page (FDA Form 1571)</w:t>
      </w:r>
    </w:p>
    <w:p>
      <w:r>
        <w:t>**1. Applicant Information**</w:t>
      </w:r>
    </w:p>
    <w:p>
      <w:r>
        <w:t>| Field | Detail |</w:t>
      </w:r>
    </w:p>
    <w:p>
      <w:r>
        <w:t>|:---|:---|</w:t>
      </w:r>
    </w:p>
    <w:p>
      <w:r>
        <w:t>| Name | Economy Park |</w:t>
      </w:r>
    </w:p>
    <w:p>
      <w:r>
        <w:t>| Address | Seoul |</w:t>
      </w:r>
    </w:p>
    <w:p>
      <w:r>
        <w:t>| Phone | 01012345678 |</w:t>
      </w:r>
    </w:p>
    <w:p>
      <w:r>
        <w:t>| Application Date | 2026-02-05 |</w:t>
      </w:r>
    </w:p>
    <w:p>
      <w:r>
        <w:t>**2. Drug Identification**</w:t>
      </w:r>
    </w:p>
    <w:p>
      <w:r>
        <w:t>| Field | Detail |</w:t>
      </w:r>
    </w:p>
    <w:p>
      <w:r>
        <w:t>|:---|:---|</w:t>
      </w:r>
    </w:p>
    <w:p>
      <w:r>
        <w:t>| Drug Name | IND Application: Test Drug A |</w:t>
      </w:r>
    </w:p>
    <w:p>
      <w:r>
        <w:t>| Drug Class | Small Molecule |</w:t>
      </w:r>
    </w:p>
    <w:p>
      <w:r>
        <w:t>| SMILES/Sequence | CCOc1ccc(cc1)C(=O)N2CCC(CC2)c3c[nH]c4c3cccc4 |</w:t>
      </w:r>
    </w:p>
    <w:p>
      <w:r>
        <w:t>| Indication | Oncology |</w:t>
      </w:r>
    </w:p>
    <w:p>
      <w:r>
        <w:t>**3. Clinical Phase Declaration**</w:t>
      </w:r>
    </w:p>
    <w:p>
      <w:r>
        <w:t>This Investigational New Drug Application is submitted for a Phase 1 clinical investigation.</w:t>
      </w:r>
    </w:p>
    <w:p>
      <w:r>
        <w:t>**4. Sponsor Commitments (21 CFR 312.23)**</w:t>
      </w:r>
    </w:p>
    <w:p>
      <w:r>
        <w:t>The sponsor, Economy Park, commits to the following:</w:t>
      </w:r>
    </w:p>
    <w:p>
      <w:r>
        <w:t>*   To conduct the investigation in compliance with all applicable sections of 21 CFR Part 312.</w:t>
      </w:r>
    </w:p>
    <w:p>
      <w:r>
        <w:t>*   To promptly report to FDA any adverse effects that may reasonably be regarded as caused by or probably caused by the drug.</w:t>
      </w:r>
    </w:p>
    <w:p>
      <w:r>
        <w:t>*   To ensure that the investigators are qualified by training and experience and that the investigation will be conducted in accordance with the protocol.</w:t>
      </w:r>
    </w:p>
    <w:p>
      <w:r>
        <w:t>*   To obtain informed consent from all subjects participating in the study.</w:t>
      </w:r>
    </w:p>
    <w:p>
      <w:r>
        <w:t>*   To ensure review by an Institutional Review Board (IRB) or Ethics Committee.</w:t>
      </w:r>
    </w:p>
    <w:p>
      <w:pPr>
        <w:pStyle w:val="Heading2"/>
      </w:pPr>
      <w:r>
        <w:t>Section 2: Introduction and General Investigational Plan</w:t>
      </w:r>
    </w:p>
    <w:p>
      <w:r>
        <w:t>**1. Cover Sheet with Drug Summary**</w:t>
      </w:r>
    </w:p>
    <w:p>
      <w:r>
        <w:t>| Field | Detail |</w:t>
      </w:r>
    </w:p>
    <w:p>
      <w:r>
        <w:t>|:---|:---|</w:t>
      </w:r>
    </w:p>
    <w:p>
      <w:r>
        <w:t>| Drug Name | IND Application: Test Drug A |</w:t>
      </w:r>
    </w:p>
    <w:p>
      <w:r>
        <w:t>| Drug Class | Small Molecule |</w:t>
      </w:r>
    </w:p>
    <w:p>
      <w:r>
        <w:t>| Indication | Oncology |</w:t>
      </w:r>
    </w:p>
    <w:p>
      <w:r>
        <w:t>| Proposed Dose | 100.0 mg QD |</w:t>
      </w:r>
    </w:p>
    <w:p>
      <w:r>
        <w:t>| Clinical Phase | Phase 1 |</w:t>
      </w:r>
    </w:p>
    <w:p>
      <w:r>
        <w:t>| Expected Enrollment | 30 patients |</w:t>
      </w:r>
    </w:p>
    <w:p>
      <w:r>
        <w:t>| Study Duration | 12 weeks |</w:t>
      </w:r>
    </w:p>
    <w:p>
      <w:r>
        <w:t>**2. Introductory Statement with Scientific Rationale**</w:t>
      </w:r>
    </w:p>
    <w:p>
      <w:r>
        <w:t>IND Application: Test Drug A is a novel small molecule proposed for the treatment of oncology. The compound's chemical structure, CCOc1ccc(cc1)C(=O)N2CCC(CC2)c3c[nH]c4c3cccc4, suggests a potential for interaction with biological targets relevant to cancer pathways. The precise mechanism of action is currently [Mechanism of Action - To Be Determined], but computational analysis predicts activity that may contribute to anti-tumor effects. This IND application seeks to initiate a Phase 1 clinical trial to evaluate the safety, tolerability, and preliminary pharmacokinetic profile of IND Application: Test Drug A in adult patients with advanced solid tumors.</w:t>
      </w:r>
    </w:p>
    <w:p>
      <w:r>
        <w:t>**3. Research Justification Based on Indication**</w:t>
      </w:r>
    </w:p>
    <w:p>
      <w:r>
        <w:t>The high unmet medical need in oncology necessitates the development of new therapeutic agents. IND Application: Test Drug A represents a novel chemical entity with a predicted profile that suggests potential therapeutic utility. The current investigational plan aims to establish the foundational safety and pharmacokinetic data required to further assess its therapeutic potential in cancer patients.</w:t>
      </w:r>
    </w:p>
    <w:p>
      <w:r>
        <w:t>**4. General Approach to Evaluation**</w:t>
      </w:r>
    </w:p>
    <w:p>
      <w:r>
        <w:t>The general investigational plan for IND Application: Test Drug A involves a phased approach, beginning with a Phase 1 study to characterize its safety, tolerability, and pharmacokinetics in a small cohort of adult patients. Subsequent phases will explore efficacy, optimal dosing, and broader safety in larger patient populations, contingent upon favorable outcomes from the initial study.</w:t>
      </w:r>
    </w:p>
    <w:p>
      <w:r>
        <w:t>**5. First-Year Study Summary**</w:t>
      </w:r>
    </w:p>
    <w:p>
      <w:r>
        <w:t>The first year of investigation will focus on a single Phase 1 clinical trial. This study is designed as an open-label, single-arm study to enroll approximately 30 adult patients. The primary objectives are to assess the safety and tolerability of IND Application: Test Drug A administered orally at a dose of 100.0 mg once daily (QD) for a duration of 12 weeks. Secondary objectives include characterizing the pharmacokinetic profile of the drug.</w:t>
      </w:r>
    </w:p>
    <w:p>
      <w:r>
        <w:t>**6. Risk Assessment Based on Computational Predictions**</w:t>
      </w:r>
    </w:p>
    <w:p>
      <w:r>
        <w:t>In-silico toxicology predictions using QSAR models indicate no significant risks. A computational genotoxicity (Ames) prediction was negative. Hepatotoxicity risk is predicted to be low based on structural alert analysis. The hERG IC50 safety margin is computationally predicted at 30.0x, which is considered acceptable. The overall risk score is computationally assessed at 75.0/100, suggesting a low overall risk profile for the proposed clinical investigation.</w:t>
      </w:r>
    </w:p>
    <w:p>
      <w:pPr>
        <w:pStyle w:val="Heading2"/>
      </w:pPr>
      <w:r>
        <w:t>Section 3: Clinical Protocol</w:t>
      </w:r>
    </w:p>
    <w:p>
      <w:r>
        <w:t>**1. Protocol Synopsis Table**</w:t>
      </w:r>
    </w:p>
    <w:p>
      <w:r>
        <w:t>| Field | Detail |</w:t>
      </w:r>
    </w:p>
    <w:p>
      <w:r>
        <w:t>|:---|:---|</w:t>
      </w:r>
    </w:p>
    <w:p>
      <w:r>
        <w:t>| Protocol Title | A Phase 1 Study of IND Application: Test Drug A in Adult Patients with Advanced Solid Tumors |</w:t>
      </w:r>
    </w:p>
    <w:p>
      <w:r>
        <w:t>| Study Drug | IND Application: Test Drug A |</w:t>
      </w:r>
    </w:p>
    <w:p>
      <w:r>
        <w:t>| Indication | Oncology (Advanced Solid Tumors) |</w:t>
      </w:r>
    </w:p>
    <w:p>
      <w:r>
        <w:t>| Phase | Phase 1 |</w:t>
      </w:r>
    </w:p>
    <w:p>
      <w:r>
        <w:t>| Study Design | Open-label, Single-arm |</w:t>
      </w:r>
    </w:p>
    <w:p>
      <w:r>
        <w:t>| Target Enrollment | 30 patients |</w:t>
      </w:r>
    </w:p>
    <w:p>
      <w:r>
        <w:t>| Study Duration | 12 weeks (per patient) |</w:t>
      </w:r>
    </w:p>
    <w:p>
      <w:r>
        <w:t>| Primary Objective | Safety and Tolerability |</w:t>
      </w:r>
    </w:p>
    <w:p>
      <w:r>
        <w:t>| Secondary Objectives | Pharmacokinetics |</w:t>
      </w:r>
    </w:p>
    <w:p>
      <w:r>
        <w:t>| Dosing Regimen | 100.0 mg orally, QD |</w:t>
      </w:r>
    </w:p>
    <w:p>
      <w:r>
        <w:t>| Principal Investigator | Dr. Hazel Jung |</w:t>
      </w:r>
    </w:p>
    <w:p>
      <w:r>
        <w:t>| Institution | Ground21 |</w:t>
      </w:r>
    </w:p>
    <w:p>
      <w:r>
        <w:t>**2. Primary and Secondary Objectives**</w:t>
      </w:r>
    </w:p>
    <w:p>
      <w:r>
        <w:t>**Primary Objective:**</w:t>
      </w:r>
    </w:p>
    <w:p>
      <w:r>
        <w:t>*   To assess the safety and tolerability of IND Application: Test Drug A administered orally at 100.0 mg QD in adult patients with advanced solid tumors.</w:t>
      </w:r>
    </w:p>
    <w:p>
      <w:r>
        <w:t>**Secondary Objectives:**</w:t>
      </w:r>
    </w:p>
    <w:p>
      <w:r>
        <w:t>*   To characterize the pharmacokinetic profile of IND Application: Test Drug A, including Cmax, AUC (0-∞), and terminal half-life.</w:t>
      </w:r>
    </w:p>
    <w:p>
      <w:r>
        <w:t>*   To evaluate preliminary anti-tumor activity of IND Application: Test Drug A.</w:t>
      </w:r>
    </w:p>
    <w:p>
      <w:r>
        <w:t>**3. Investigator Information**</w:t>
      </w:r>
    </w:p>
    <w:p>
      <w:r>
        <w:t>| Field | Detail |</w:t>
      </w:r>
    </w:p>
    <w:p>
      <w:r>
        <w:t>|:---|:---|</w:t>
      </w:r>
    </w:p>
    <w:p>
      <w:r>
        <w:t>| Principal Investigator | Dr. Hazel Jung |</w:t>
      </w:r>
    </w:p>
    <w:p>
      <w:r>
        <w:t>| Credentials | PM |</w:t>
      </w:r>
    </w:p>
    <w:p>
      <w:r>
        <w:t>| Institution | Ground21 |</w:t>
      </w:r>
    </w:p>
    <w:p>
      <w:r>
        <w:t>| Institution Address | Bucheon |</w:t>
      </w:r>
    </w:p>
    <w:p>
      <w:r>
        <w:t>| IRB/Ethics Committee | Booooooard |</w:t>
      </w:r>
    </w:p>
    <w:p>
      <w:r>
        <w:t>**4. Patient Selection Criteria**</w:t>
      </w:r>
    </w:p>
    <w:p>
      <w:r>
        <w:t>**Inclusion Criteria:**</w:t>
      </w:r>
    </w:p>
    <w:p>
      <w:r>
        <w:t>*   Adult patients, male or female, ≥18 years of age.</w:t>
      </w:r>
    </w:p>
    <w:p>
      <w:r>
        <w:t>*   Histologically or cytologically confirmed advanced solid tumor that is metastatic or unresectable and for which standard curative or life-prolonging therapies are not available or are no longer effective.</w:t>
      </w:r>
    </w:p>
    <w:p>
      <w:r>
        <w:t>*   Eastern Cooperative Oncology Group (ECOG) performance status of 0 or 1.</w:t>
      </w:r>
    </w:p>
    <w:p>
      <w:r>
        <w:t>*   Measurable disease per Response Evaluation Criteria in Solid Tumors (RECIST) v1.1.</w:t>
      </w:r>
    </w:p>
    <w:p>
      <w:r>
        <w:t>*   Adequate organ function as defined by:</w:t>
      </w:r>
    </w:p>
    <w:p>
      <w:r>
        <w:t>*   Absolute neutrophil count (ANC) ≥1.5 x 10^9/L</w:t>
      </w:r>
    </w:p>
    <w:p>
      <w:r>
        <w:t>*   Platelets ≥100 x 10^9/L</w:t>
      </w:r>
    </w:p>
    <w:p>
      <w:r>
        <w:t>*   Hemoglobin ≥9.0 g/dL</w:t>
      </w:r>
    </w:p>
    <w:p>
      <w:r>
        <w:t>*   Total bilirubin ≤1.5 x upper limit of normal (ULN)</w:t>
      </w:r>
    </w:p>
    <w:p>
      <w:r>
        <w:t>*   Aspartate aminotransferase (AST) and Alanine aminotransferase (ALT) ≤2.5 x ULN (≤5 x ULN for patients with liver metastases)</w:t>
      </w:r>
    </w:p>
    <w:p>
      <w:r>
        <w:t>*   Serum creatinine ≤1.5 x ULN OR calculated creatinine clearance ≥60 mL/min</w:t>
      </w:r>
    </w:p>
    <w:p>
      <w:r>
        <w:t>*   Life expectancy of at least 3 months.</w:t>
      </w:r>
    </w:p>
    <w:p>
      <w:r>
        <w:t>*   Ability to understand and willingness to sign a written informed consent form.</w:t>
      </w:r>
    </w:p>
    <w:p>
      <w:r>
        <w:t>**Exclusion Criteria:**</w:t>
      </w:r>
    </w:p>
    <w:p>
      <w:r>
        <w:t>*   Prior treatment with any investigational agent within 28 days or 5 half-lives, whichever is shorter, prior to the first dose of study drug.</w:t>
      </w:r>
    </w:p>
    <w:p>
      <w:r>
        <w:t>*   Major surgery within 28 days prior to the first dose of study drug.</w:t>
      </w:r>
    </w:p>
    <w:p>
      <w:r>
        <w:t>*   Known active central nervous system (CNS) metastases or leptomeningeal carcinomatosis.</w:t>
      </w:r>
    </w:p>
    <w:p>
      <w:r>
        <w:t>*   Active infection requiring systemic therapy.</w:t>
      </w:r>
    </w:p>
    <w:p>
      <w:r>
        <w:t>*   Known history of human immunodeficiency virus (HIV) infection, active hepatitis B, or hepatitis C.</w:t>
      </w:r>
    </w:p>
    <w:p>
      <w:r>
        <w:t>*   Significant cardiovascular disease (e.g., uncontrolled hypertension, unstable angina, myocardial infarction within 6 months, New York Heart Association Class III or IV congestive heart failure).</w:t>
      </w:r>
    </w:p>
    <w:p>
      <w:r>
        <w:t>*   Pregnant or lactating women. Women of childbearing potential and men must agree to use highly effective contraception during the study and for at least 3 months after the last dose of study drug.</w:t>
      </w:r>
    </w:p>
    <w:p>
      <w:r>
        <w:t>*   Any other severe acute or chronic medical condition or laboratory abnormality that, in the opinion of the investigator, would make the patient unsuitable for the study.</w:t>
      </w:r>
    </w:p>
    <w:p>
      <w:r>
        <w:t>**5. Study Design**</w:t>
      </w:r>
    </w:p>
    <w:p>
      <w:r>
        <w:t>This will be an open-label, single-arm, multi-center Phase 1 study. Patients will receive IND Application: Test Drug A at a fixed dose of 100.0 mg orally once daily (QD). The study will consist of a screening period, a treatment period of up to 12 weeks, and a follow-up period. Safety will be monitored continuously throughout the study. Pharmacokinetic samples will be collected at predefined time points.</w:t>
      </w:r>
    </w:p>
    <w:p>
      <w:r>
        <w:t>**6. Dosing Regimen with Justification from PK Predictions**</w:t>
      </w:r>
    </w:p>
    <w:p>
      <w:r>
        <w:t>IND Application: Test Drug A will be administered orally at a dose of 100.0 mg once daily (QD). This dose and regimen are proposed based on in-silico mPBPK model predictions. Computational analysis predicts a Cmax of 1500.0 ng/mL and an AUC (0-∞) of 25000.0 ng·h/mL following this dose. The predicted terminal half-life of 12.0 hours suggests that once-daily dosing may be appropriate to maintain therapeutic exposure.</w:t>
      </w:r>
    </w:p>
    <w:p>
      <w:r>
        <w:t>**7. Safety Monitoring Plan Based on Identified Risks**</w:t>
      </w:r>
    </w:p>
    <w:p>
      <w:r>
        <w:t>Safety will be monitored through continuous assessment of adverse events (AEs), clinical laboratory tests (hematology, serum chemistry, urinalysis), vital signs, 12-lead electrocardiograms (ECGs), and physical examinations.</w:t>
      </w:r>
    </w:p>
    <w:p>
      <w:r>
        <w:t>*   **Adverse Events:** All AEs will be graded according to the National Cancer Institute Common Terminology Criteria for Adverse Events (NCI CTCAE) v5.0.</w:t>
      </w:r>
    </w:p>
    <w:p>
      <w:r>
        <w:t>*   **Laboratory Assessments:** Blood and urine samples will be collected at screening, on specified days during treatment, and at the end of treatment/follow-up. Particular attention will be paid to liver function tests given the computational prediction of low hepatotoxicity risk, to confirm this in a clinical setting.</w:t>
      </w:r>
    </w:p>
    <w:p>
      <w:r>
        <w:t>*   **ECG Monitoring:** ECGs will be performed at screening and at regular intervals during the study to monitor for potential cardiac effects, especially considering the acceptable hERG safety margin predicted computationally.</w:t>
      </w:r>
    </w:p>
    <w:p>
      <w:r>
        <w:t>*   **Vital Signs and Physical Exams:** Performed at each study visit.</w:t>
      </w:r>
    </w:p>
    <w:p>
      <w:r>
        <w:t>**8. Efficacy Assessments**</w:t>
      </w:r>
    </w:p>
    <w:p>
      <w:r>
        <w:t>Efficacy will be assessed exploratorily in this Phase 1 study. Tumor responses will be evaluated using RECIST v1.1 criteria at baseline and every 6 weeks thereafter. Assessments will include objective response rate (ORR), disease control rate (DCR), duration of response (DOR), and progression-free survival (PFS).</w:t>
      </w:r>
    </w:p>
    <w:p>
      <w:r>
        <w:t>**9. Statistical Considerations**</w:t>
      </w:r>
    </w:p>
    <w:p>
      <w:r>
        <w:t>This is a Phase 1 study primarily focused on safety and pharmacokinetics. Descriptive statistics will be used to summarize safety, tolerability, and pharmacokinetic parameters. No formal hypothesis testing for efficacy will be performed. The sample size of 30 patients is considered sufficient to characterize the safety profile and provide preliminary pharmacokinetic data.</w:t>
      </w:r>
    </w:p>
    <w:p>
      <w:pPr>
        <w:pStyle w:val="Heading2"/>
      </w:pPr>
      <w:r>
        <w:t>Section 5: Investigator's Brochure</w:t>
      </w:r>
    </w:p>
    <w:p>
      <w:r>
        <w:t>**1. Drug Substance Description with Structure**</w:t>
      </w:r>
    </w:p>
    <w:p>
      <w:r>
        <w:t>IND Application: Test Drug A is a small molecule with the chemical structure represented by the SMILES string: CCOc1ccc(cc1)C(=O)N2CCC(CC2)c3c[nH]c4c3cccc4. It is classified as a small molecule.</w:t>
      </w:r>
    </w:p>
    <w:p>
      <w:r>
        <w:t>**2. Pharmacology Summary with Mechanism**</w:t>
      </w:r>
    </w:p>
    <w:p>
      <w:r>
        <w:t>IND Application: Test Drug A is being developed for the therapeutic indication of oncology. The precise mechanism of action is currently [Mechanism of Action - To Be Determined]. Computational analysis predicts activity that may contribute to anti-tumor effects.</w:t>
      </w:r>
    </w:p>
    <w:p>
      <w:r>
        <w:t>**3. Pharmacokinetics Summary (In-Silico Predictions)**</w:t>
      </w:r>
    </w:p>
    <w:p>
      <w:r>
        <w:t>In-silico mPBPK model predictions for IND Application: Test Drug A suggest the following pharmacokinetic profile:</w:t>
      </w:r>
    </w:p>
    <w:p>
      <w:r>
        <w:t>| Parameter | Predicted Value | Unit |</w:t>
      </w:r>
    </w:p>
    <w:p>
      <w:r>
        <w:t>|:---|:---|:---|</w:t>
      </w:r>
    </w:p>
    <w:p>
      <w:r>
        <w:t>| Cmax | 1500.0 | ng/mL |</w:t>
      </w:r>
    </w:p>
    <w:p>
      <w:r>
        <w:t>| AUC (0-∞) | 25000.0 | ng·h/mL |</w:t>
      </w:r>
    </w:p>
    <w:p>
      <w:r>
        <w:t>| Terminal Half-life | 12.0 | hours |</w:t>
      </w:r>
    </w:p>
    <w:p>
      <w:r>
        <w:t>| Half-life | 12.0 | h |</w:t>
      </w:r>
    </w:p>
    <w:p>
      <w:r>
        <w:t>| Target Occupancy at Trough | 0.0 | % |</w:t>
      </w:r>
    </w:p>
    <w:p>
      <w:r>
        <w:t>| Volume of Distribution | 0.5 | L/kg |</w:t>
      </w:r>
    </w:p>
    <w:p>
      <w:r>
        <w:t>| Clearance | N/A | mL/min/kg |</w:t>
      </w:r>
    </w:p>
    <w:p>
      <w:r>
        <w:t>| Fraction Unbound | N/A% | |</w:t>
      </w:r>
    </w:p>
    <w:p>
      <w:r>
        <w:t>These values are derived from computational modeling and require clinical validation.</w:t>
      </w:r>
    </w:p>
    <w:p>
      <w:r>
        <w:t>**4. Toxicology Summary (In-Silico Predictions)**</w:t>
      </w:r>
    </w:p>
    <w:p>
      <w:r>
        <w:t>In-silico toxicology predictions, primarily from QSAR models, indicate a generally favorable profile:</w:t>
      </w:r>
    </w:p>
    <w:p>
      <w:r>
        <w:t>*   **Genotoxicity:** Computational analysis (Ames test prediction) suggests a negative result, indicating a low genotoxic risk.</w:t>
      </w:r>
    </w:p>
    <w:p>
      <w:r>
        <w:t>*   **Hepatotoxicity:** Structural alert analysis predicts a low risk of hepatotoxicity.</w:t>
      </w:r>
    </w:p>
    <w:p>
      <w:r>
        <w:t>*   **Overall Risk:** The overall risk score is computationally assessed at 75.0/100, which suggests a low overall toxicological risk.</w:t>
      </w:r>
    </w:p>
    <w:p>
      <w:r>
        <w:t>*   **Other Risks:** No significant risks were identified through QSAR model predictions.</w:t>
      </w:r>
    </w:p>
    <w:p>
      <w:r>
        <w:t>These findings are based on computational models and require further experimental and clinical confirmation.</w:t>
      </w:r>
    </w:p>
    <w:p>
      <w:r>
        <w:t>**5. Known Risks and Precautionary Measures**</w:t>
      </w:r>
    </w:p>
    <w:p>
      <w:r>
        <w:t>Based on in-silico predictions:</w:t>
      </w:r>
    </w:p>
    <w:p>
      <w:r>
        <w:t>*   **Cardiac Safety:** A computational hERG IC50 safety margin of 30.0x is considered acceptable, suggesting a low risk of QT prolongation. However, standard ECG monitoring is recommended in clinical trials.</w:t>
      </w:r>
    </w:p>
    <w:p>
      <w:r>
        <w:t>*   **Hepatotoxicity:** While computationally predicted as low, liver function should be monitored through routine laboratory tests during clinical investigation.</w:t>
      </w:r>
    </w:p>
    <w:p>
      <w:r>
        <w:t>*   **Genotoxicity:** In-silico prediction is negative, but standard monitoring for adverse events is prudent.</w:t>
      </w:r>
    </w:p>
    <w:p>
      <w:r>
        <w:t>*   **Overall:** The overall risk score is low, but all investigational drugs carry inherent risks. Close monitoring for adverse events, clinical laboratory abnormalities, and vital sign changes is essential.</w:t>
      </w:r>
    </w:p>
    <w:p>
      <w:r>
        <w:t>Precautionary measures include careful patient selection, continuous monitoring of adverse events, regular laboratory assessments, and adherence to the study protocol.</w:t>
      </w:r>
    </w:p>
    <w:p>
      <w:pPr>
        <w:pStyle w:val="Heading2"/>
      </w:pPr>
      <w:r>
        <w:t>Section 8: Pharmacology and Toxicology</w:t>
      </w:r>
    </w:p>
    <w:p>
      <w:r>
        <w:t>**8.1 Introduction**</w:t>
      </w:r>
    </w:p>
    <w:p>
      <w:r>
        <w:t>IND Application: Test Drug A is a novel small molecule with the chemical structure represented by the SMILES string: CCOc1ccc(cc1)C(=O)N2CCC(CC2)c3c[nH]c4c3cccc4. It is being developed as a potential therapeutic agent for oncology. The pharmacologic class is a small molecule.</w:t>
      </w:r>
    </w:p>
    <w:p>
      <w:r>
        <w:t>**8.2 Non-Clinical Pharmacology**</w:t>
      </w:r>
    </w:p>
    <w:p>
      <w:r>
        <w:t>**Interspecies PK Comparison (In-Silico)**</w:t>
      </w:r>
    </w:p>
    <w:p>
      <w:r>
        <w:t>Non-clinical experimental data for interspecies pharmacokinetic comparison are currently unavailable. In-silico predictions for animal models are also not available for clearance, Vss, or Fup.</w:t>
      </w:r>
    </w:p>
    <w:p>
      <w:r>
        <w:t>| Species | Clearance (mL/min/kg) | Vss (L/kg) | Fup (%) |</w:t>
      </w:r>
    </w:p>
    <w:p>
      <w:r>
        <w:t>|:---|:---|:---|:---|</w:t>
      </w:r>
    </w:p>
    <w:p>
      <w:r>
        <w:t>| Rat | None | None | None% |</w:t>
      </w:r>
    </w:p>
    <w:p>
      <w:r>
        <w:t>| Dog | None | None | None% |</w:t>
      </w:r>
    </w:p>
    <w:p>
      <w:r>
        <w:t>| Monkey | None | None | None% |</w:t>
      </w:r>
    </w:p>
    <w:p>
      <w:r>
        <w:t>**Allometric Scaling Justification**</w:t>
      </w:r>
    </w:p>
    <w:p>
      <w:r>
        <w:t>[PLACEHOLDER: Justification for allometric scaling, if applicable, based on available non-clinical data. Currently, no non-clinical experimental data are available to support allometric scaling.]</w:t>
      </w:r>
    </w:p>
    <w:p>
      <w:r>
        <w:t>**8.3 Pharmacokinetics (mPBPK Predictions)**</w:t>
      </w:r>
    </w:p>
    <w:p>
      <w:r>
        <w:t>The pharmacokinetic profile of IND Application: Test Drug A has been characterized through in-silico mPBPK modeling. These computational analyses predict the following parameters:</w:t>
      </w:r>
    </w:p>
    <w:p>
      <w:r>
        <w:t>| Parameter | Predicted Value | Unit |</w:t>
      </w:r>
    </w:p>
    <w:p>
      <w:r>
        <w:t>|:---|:---|:---|</w:t>
      </w:r>
    </w:p>
    <w:p>
      <w:r>
        <w:t>| Cmax | 1500.0 | ng/mL |</w:t>
      </w:r>
    </w:p>
    <w:p>
      <w:r>
        <w:t>| AUC (0-∞) | 25000.0 | ng·h/mL |</w:t>
      </w:r>
    </w:p>
    <w:p>
      <w:r>
        <w:t>| Terminal Half-life | 12.0 | hours |</w:t>
      </w:r>
    </w:p>
    <w:p>
      <w:r>
        <w:t>| Half-life | 12.0 | h |</w:t>
      </w:r>
    </w:p>
    <w:p>
      <w:r>
        <w:t>| Target Occupancy at Trough | 0.0 | % |</w:t>
      </w:r>
    </w:p>
    <w:p>
      <w:r>
        <w:t>| Volume of Distribution | 0.5 | L/kg |</w:t>
      </w:r>
    </w:p>
    <w:p>
      <w:r>
        <w:t>| Clearance | N/A | mL/min/kg |</w:t>
      </w:r>
    </w:p>
    <w:p>
      <w:r>
        <w:t>| Fraction Unbound | N/A% | |</w:t>
      </w:r>
    </w:p>
    <w:p>
      <w:r>
        <w:t>These in-silico predictions suggest a moderate half-life, potentially supporting a once-daily dosing regimen. The predicted volume of distribution indicates moderate tissue distribution. These computational findings require experimental validation in both non-clinical and clinical settings.</w:t>
      </w:r>
    </w:p>
    <w:p>
      <w:r>
        <w:t>**8.4 Toxicology (QSAR Predictions)**</w:t>
      </w:r>
    </w:p>
    <w:p>
      <w:r>
        <w:t>Toxicological assessment of IND Application: Test Drug A has been performed using in-silico QSAR models. These computational predictions indicate a generally low risk profile:</w:t>
      </w:r>
    </w:p>
    <w:p>
      <w:r>
        <w:t>*   **Genotoxicity:** In-silico prediction for genotoxicity (Ames test) was negative, suggesting a low potential for DNA damage.</w:t>
      </w:r>
    </w:p>
    <w:p>
      <w:r>
        <w:t>*   **Hepatotoxicity:** Structural alert analysis computationally predicts a low risk of drug-induced hepatotoxicity.</w:t>
      </w:r>
    </w:p>
    <w:p>
      <w:r>
        <w:t>*   **Overall Risk Score:** A computational overall risk score of 75.0/100 suggests a low overall toxicological concern.</w:t>
      </w:r>
    </w:p>
    <w:p>
      <w:r>
        <w:t>*   **Other Risks:** QSAR model predictions did not identify any significant toxicological risks.</w:t>
      </w:r>
    </w:p>
    <w:p>
      <w:r>
        <w:t>These in-silico findings suggest a favorable safety profile, but require confirmation through standard non-clinical toxicology studies.</w:t>
      </w:r>
    </w:p>
    <w:p>
      <w:r>
        <w:t>**8.5 Safety Pharmacology (In-Silico Assessment)**</w:t>
      </w:r>
    </w:p>
    <w:p>
      <w:r>
        <w:t>**hERG Assessment:** Computational analysis predicts an hERG IC50 safety margin of 30.0x. This margin is considered acceptable and suggests a low risk of hERG channel inhibition and associated cardiac repolarization abnormalities.</w:t>
      </w:r>
    </w:p>
    <w:p>
      <w:r>
        <w:t>**Cardiovascular Safety:** Based on the acceptable hERG safety margin, the in-silico assessment indicates a low potential for cardiovascular safety concerns. However, comprehensive safety pharmacology studies are typically required to fully characterize cardiovascular, respiratory, and central nervous system effects.</w:t>
      </w:r>
    </w:p>
    <w:p>
      <w:r>
        <w:t>**8.6 GLP Compliance Statement**</w:t>
      </w:r>
    </w:p>
    <w:p>
      <w:r>
        <w:t>[PLACEHOLDER: Statement regarding GLP compliance for non-clinical studies. Currently, no experimental non-clinical studies have been conducted.]</w:t>
      </w:r>
    </w:p>
    <w:p>
      <w:r>
        <w:t>**8.6 Evaluator Statement**</w:t>
      </w:r>
    </w:p>
    <w:p>
      <w:r>
        <w:t>[PLACEHOLDER: Statement from an independent evaluator, if applicable.]</w:t>
      </w:r>
    </w:p>
    <w:p>
      <w:r>
        <w:t>**8.7 References**</w:t>
      </w:r>
    </w:p>
    <w:p>
      <w:r>
        <w:t>[PLACEHOLDER: List of references for non-clinical data.]</w:t>
      </w:r>
    </w:p>
    <w:p>
      <w:r>
        <w:br w:type="page"/>
      </w:r>
    </w:p>
    <w:p>
      <w:r>
        <w:rPr>
          <w:b/>
        </w:rPr>
        <w:t>DISCLAIMER: This document is an AI-generated draft for prototype demonstration purposes only. It does NOT replace experimental data or professional regulatory review. Verify all values against original study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