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IND APPLICATION: Sample_Drug</w:t>
      </w:r>
    </w:p>
    <w:p>
      <w:pPr>
        <w:pStyle w:val="Heading1"/>
      </w:pPr>
      <w:r>
        <w:t>Section 1: Cover Page (FDA Form 1571)</w:t>
      </w:r>
    </w:p>
    <w:p>
      <w:r>
        <w:t>**1.1 Applicant Information**</w:t>
      </w:r>
    </w:p>
    <w:p>
      <w:r>
        <w:t>| Field | Detail |</w:t>
      </w:r>
    </w:p>
    <w:p>
      <w:r>
        <w:t>|:---|:---|</w:t>
      </w:r>
    </w:p>
    <w:p>
      <w:r>
        <w:t>| Name | Economy Park |</w:t>
      </w:r>
    </w:p>
    <w:p>
      <w:r>
        <w:t>| Address | Incheon, Jung-Gu |</w:t>
      </w:r>
    </w:p>
    <w:p>
      <w:r>
        <w:t>| Phone | 01012345678 |</w:t>
      </w:r>
    </w:p>
    <w:p>
      <w:r>
        <w:t>| Application Date | 2026-02-08 |</w:t>
      </w:r>
    </w:p>
    <w:p>
      <w:r>
        <w:t>**1.2 Drug Identification**</w:t>
      </w:r>
    </w:p>
    <w:p>
      <w:r>
        <w:t>| Field | Detail |</w:t>
      </w:r>
    </w:p>
    <w:p>
      <w:r>
        <w:t>|:---|:---|</w:t>
      </w:r>
    </w:p>
    <w:p>
      <w:r>
        <w:t>| Drug Name | Sample_Drug |</w:t>
      </w:r>
    </w:p>
    <w:p>
      <w:r>
        <w:t>| Drug Class | Small Molecule |</w:t>
      </w:r>
    </w:p>
    <w:p>
      <w:r>
        <w:t>| Indication | Oncology |</w:t>
      </w:r>
    </w:p>
    <w:p>
      <w:r>
        <w:t>**1.3 Clinical Phase Declaration**</w:t>
      </w:r>
    </w:p>
    <w:p>
      <w:r>
        <w:t>This Investigational New Drug Application is submitted for a Phase 1 clinical investigation of Sample_Drug.</w:t>
      </w:r>
    </w:p>
    <w:p>
      <w:r>
        <w:t>**1.4 Sponsor Commitments (21 CFR 312.23)**</w:t>
      </w:r>
    </w:p>
    <w:p>
      <w:r>
        <w:t>The sponsor, Economy Park, commits to:</w:t>
      </w:r>
    </w:p>
    <w:p>
      <w:r>
        <w:t>*   Not begin clinical investigations until 30 days after FDA's receipt of the IND, or upon earlier notification by FDA that investigations may proceed.</w:t>
      </w:r>
    </w:p>
    <w:p>
      <w:r>
        <w:t>*   Conduct the clinical investigations in compliance with the requirements of 21 CFR Part 312.</w:t>
      </w:r>
    </w:p>
    <w:p>
      <w:r>
        <w:t>*   Promptly notify FDA and all participating investigators of any adverse effect that may reasonably be regarded as caused by or probably caused by the drug and that is serious or unexpected.</w:t>
      </w:r>
    </w:p>
    <w:p>
      <w:r>
        <w:t>*   Submit an annual report on the progress of the investigation.</w:t>
      </w:r>
    </w:p>
    <w:p>
      <w:r>
        <w:t>*   Ensure that the investigators are qualified by training and experience and that the investigations are conducted in accordance with the protocol.</w:t>
      </w:r>
    </w:p>
    <w:p>
      <w:pPr>
        <w:pStyle w:val="Heading1"/>
      </w:pPr>
      <w:r>
        <w:t>Section 2: Introduction and General Investigational Plan</w:t>
      </w:r>
    </w:p>
    <w:p>
      <w:r>
        <w:t>**2.1 Cover Sheet with Drug Summary**</w:t>
      </w:r>
    </w:p>
    <w:p>
      <w:r>
        <w:t>| Field | Detail |</w:t>
      </w:r>
    </w:p>
    <w:p>
      <w:r>
        <w:t>|:---|:---|</w:t>
      </w:r>
    </w:p>
    <w:p>
      <w:r>
        <w:t>| Drug Name | Sample_Drug |</w:t>
      </w:r>
    </w:p>
    <w:p>
      <w:r>
        <w:t>| Class | Small Molecule |</w:t>
      </w:r>
    </w:p>
    <w:p>
      <w:r>
        <w:t>| Indication | Oncology |</w:t>
      </w:r>
    </w:p>
    <w:p>
      <w:r>
        <w:t>| Proposed Dose | 200.0 mg QD |</w:t>
      </w:r>
    </w:p>
    <w:p>
      <w:r>
        <w:t>| Phase | Phase 1 |</w:t>
      </w:r>
    </w:p>
    <w:p>
      <w:r>
        <w:t>| Enrollment | 60 healthy volunteers |</w:t>
      </w:r>
    </w:p>
    <w:p>
      <w:r>
        <w:t>| Duration | 4 weeks |</w:t>
      </w:r>
    </w:p>
    <w:p>
      <w:r>
        <w:t>**2.2 Introductory Statement with Scientific Rationale**</w:t>
      </w:r>
    </w:p>
    <w:p>
      <w:r>
        <w:t>Sample_Drug is a novel small molecule proposed for the treatment of Oncology. The current application seeks to initiate a Phase 1 clinical trial to evaluate the safety, tolerability, and pharmacokinetic profile of Sample_Drug in healthy volunteers. While the precise mechanism of action remains to be determined, computational analyses suggest potential activity relevant to oncological pathways. This initial study aims to establish a safe dosing range for future therapeutic investigations.</w:t>
      </w:r>
    </w:p>
    <w:p>
      <w:r>
        <w:t>**2.3 Research Justification Based on Indication**</w:t>
      </w:r>
    </w:p>
    <w:p>
      <w:r>
        <w:t>The high unmet medical need in Oncology necessitates the development of new therapeutic agents. Sample_Drug, as a novel small molecule, represents a potential candidate for addressing this need. Initial in-silico predictions suggest a favorable safety profile, supporting progression to human studies to characterize its fundamental pharmacological properties.</w:t>
      </w:r>
    </w:p>
    <w:p>
      <w:r>
        <w:t>**2.4 General Approach to Evaluation**</w:t>
      </w:r>
    </w:p>
    <w:p>
      <w:r>
        <w:t>The investigational plan for Sample_Drug will proceed in a stepwise manner, beginning with a Phase 1 study in healthy volunteers to assess safety, tolerability, and pharmacokinetics. Subsequent phases will involve dose escalation and efficacy evaluation in patient populations, contingent upon favorable outcomes from the initial safety and PK assessments.</w:t>
      </w:r>
    </w:p>
    <w:p>
      <w:r>
        <w:t>**2.5 First-Year Study Summary**</w:t>
      </w:r>
    </w:p>
    <w:p>
      <w:r>
        <w:t>The first year of investigation will focus on a single Phase 1 clinical trial. This study will enroll approximately 60 healthy volunteers and will have a duration of 4 weeks. The primary objectives will be to assess the safety and tolerability of single and multiple ascending doses of Sample_Drug, and to characterize its pharmacokinetic profile.</w:t>
      </w:r>
    </w:p>
    <w:p>
      <w:r>
        <w:t>**2.6 Risk Assessment Based on Computational Predictions**</w:t>
      </w:r>
    </w:p>
    <w:p>
      <w:r>
        <w:t>In-silico safety assessments suggest a low overall risk profile for Sample_Drug.</w:t>
      </w:r>
    </w:p>
    <w:p>
      <w:r>
        <w:t>*   **hERG IC50 Safety Margin:** A safety margin of 30.0x indicates an acceptable risk for cardiac repolarization effects.</w:t>
      </w:r>
    </w:p>
    <w:p>
      <w:r>
        <w:t>*   **Hepatotoxicity Risk:** Structural alert analysis suggests a low risk of hepatotoxicity.</w:t>
      </w:r>
    </w:p>
    <w:p>
      <w:r>
        <w:t>*   **Genotoxicity (Ames):** In-silico prediction indicates a negative result for genotoxicity.</w:t>
      </w:r>
    </w:p>
    <w:p>
      <w:r>
        <w:t>*   **Overall Risk Score:** A computational overall risk score of 100.0/100 further supports a low-risk profile.</w:t>
      </w:r>
    </w:p>
    <w:p>
      <w:r>
        <w:t>These computational predictions suggest that Sample_Drug may be safely administered to human subjects in a controlled clinical setting.</w:t>
      </w:r>
    </w:p>
    <w:p>
      <w:pPr>
        <w:pStyle w:val="Heading1"/>
      </w:pPr>
      <w:r>
        <w:t>Section 3: Clinical Protocol</w:t>
      </w:r>
    </w:p>
    <w:p>
      <w:r>
        <w:t>**3.1 Protocol Synopsis Table**</w:t>
      </w:r>
    </w:p>
    <w:p>
      <w:r>
        <w:t>| Field | Detail |</w:t>
      </w:r>
    </w:p>
    <w:p>
      <w:r>
        <w:t>|:---|:---|</w:t>
      </w:r>
    </w:p>
    <w:p>
      <w:r>
        <w:t>| Protocol Title | A Phase 1 Study of Sample_Drug in Healthy Volunteers |</w:t>
      </w:r>
    </w:p>
    <w:p>
      <w:r>
        <w:t>| Study Phase | Phase 1 |</w:t>
      </w:r>
    </w:p>
    <w:p>
      <w:r>
        <w:t>| Indication | Oncology (future) |</w:t>
      </w:r>
    </w:p>
    <w:p>
      <w:r>
        <w:t>| Study Design | Single and Multiple Ascending Dose (SAD/MAD), Open-label |</w:t>
      </w:r>
    </w:p>
    <w:p>
      <w:r>
        <w:t>| Target Population | Healthy volunteers |</w:t>
      </w:r>
    </w:p>
    <w:p>
      <w:r>
        <w:t>| Enrollment | 60 subjects |</w:t>
      </w:r>
    </w:p>
    <w:p>
      <w:r>
        <w:t>| Study Duration | 4 weeks |</w:t>
      </w:r>
    </w:p>
    <w:p>
      <w:r>
        <w:t>| Primary Obj. | Safety, Tolerability, PK |</w:t>
      </w:r>
    </w:p>
    <w:p>
      <w:r>
        <w:t>| Secondary Obj. | [PLACEHOLDER: Secondary objectives] |</w:t>
      </w:r>
    </w:p>
    <w:p>
      <w:r>
        <w:t>| Drug Name | Sample_Drug |</w:t>
      </w:r>
    </w:p>
    <w:p>
      <w:r>
        <w:t>| Dose | 200.0 mg QD (proposed starting) |</w:t>
      </w:r>
    </w:p>
    <w:p>
      <w:r>
        <w:t>| Route | Oral |</w:t>
      </w:r>
    </w:p>
    <w:p>
      <w:r>
        <w:t>**3.2 Primary and Secondary Objectives**</w:t>
      </w:r>
    </w:p>
    <w:p>
      <w:r>
        <w:t>**Primary Objectives:**</w:t>
      </w:r>
    </w:p>
    <w:p>
      <w:r>
        <w:t>*   To assess the safety and tolerability of single and multiple ascending oral doses of Sample_Drug in healthy adult volunteers.</w:t>
      </w:r>
    </w:p>
    <w:p>
      <w:r>
        <w:t>*   To characterize the pharmacokinetic profile of Sample_Drug following single and multiple oral doses in healthy adult volunteers.</w:t>
      </w:r>
    </w:p>
    <w:p>
      <w:r>
        <w:t>**Secondary Objectives:**</w:t>
      </w:r>
    </w:p>
    <w:p>
      <w:r>
        <w:t>*   [PLACEHOLDER: To evaluate the effect of food on the pharmacokinetics of Sample_Drug.]</w:t>
      </w:r>
    </w:p>
    <w:p>
      <w:r>
        <w:t>*   [PLACEHOLDER: To explore potential pharmacodynamic markers, if applicable.]</w:t>
      </w:r>
    </w:p>
    <w:p>
      <w:r>
        <w:t>**3.3 Investigator Information**</w:t>
      </w:r>
    </w:p>
    <w:p>
      <w:r>
        <w:t>| Field | Detail |</w:t>
      </w:r>
    </w:p>
    <w:p>
      <w:r>
        <w:t>|:---|:---|</w:t>
      </w:r>
    </w:p>
    <w:p>
      <w:r>
        <w:t>| Principal Investigator | Dr. Hazel Jung |</w:t>
      </w:r>
    </w:p>
    <w:p>
      <w:r>
        <w:t>| Credentials | PM |</w:t>
      </w:r>
    </w:p>
    <w:p>
      <w:r>
        <w:t>| Institution | Ground21 |</w:t>
      </w:r>
    </w:p>
    <w:p>
      <w:r>
        <w:t>| Institution Address | Incheon, Gyeyang |</w:t>
      </w:r>
    </w:p>
    <w:p>
      <w:r>
        <w:t>| IRB/Ethics Committee | Booooooard |</w:t>
      </w:r>
    </w:p>
    <w:p>
      <w:r>
        <w:t>**3.4 Patient Selection Criteria**</w:t>
      </w:r>
    </w:p>
    <w:p>
      <w:r>
        <w:t>**Inclusion Criteria:**</w:t>
      </w:r>
    </w:p>
    <w:p>
      <w:r>
        <w:t>*   Healthy male or female subjects aged 18 to 55 years, inclusive.</w:t>
      </w:r>
    </w:p>
    <w:p>
      <w:r>
        <w:t>*   Body Mass Index (BMI) between 18.0 and 30.0 kg/m², inclusive.</w:t>
      </w:r>
    </w:p>
    <w:p>
      <w:r>
        <w:t>*   No clinically significant abnormalities in medical history, physical examination, vital signs, or laboratory tests (hematology, clinical chemistry, urinalysis) as determined by the investigator.</w:t>
      </w:r>
    </w:p>
    <w:p>
      <w:r>
        <w:t>*   Ability to understand and provide written informed consent.</w:t>
      </w:r>
    </w:p>
    <w:p>
      <w:r>
        <w:t>*   Willingness to comply with all study procedures and restrictions.</w:t>
      </w:r>
    </w:p>
    <w:p>
      <w:r>
        <w:t>*   Female subjects of childbearing potential must have a negative pregnancy test at screening and baseline and agree to use highly effective contraception methods from screening until 30 days after the last dose.</w:t>
      </w:r>
    </w:p>
    <w:p>
      <w:r>
        <w:t>*   Male subjects must agree to use condoms and refrain from sperm donation from screening until 90 days after the last dose.</w:t>
      </w:r>
    </w:p>
    <w:p>
      <w:r>
        <w:t>**Exclusion Criteria:**</w:t>
      </w:r>
    </w:p>
    <w:p>
      <w:r>
        <w:t>*   History of any clinically significant cardiovascular, pulmonary, hepatic, renal, gastrointestinal, neurological, psychiatric, endocrine, or hematological disease.</w:t>
      </w:r>
    </w:p>
    <w:p>
      <w:r>
        <w:t>*   History of malignancy within the last 5 years (excluding adequately treated basal cell carcinoma or squamous cell carcinoma of the skin).</w:t>
      </w:r>
    </w:p>
    <w:p>
      <w:r>
        <w:t>*   Presence of any acute or chronic illness that, in the opinion of the investigator, might interfere with the absorption, distribution, metabolism, or excretion of the investigational product, or place the subject at undue risk.</w:t>
      </w:r>
    </w:p>
    <w:p>
      <w:r>
        <w:t>*   Known hypersensitivity to Sample_Drug or any of its excipients.</w:t>
      </w:r>
    </w:p>
    <w:p>
      <w:r>
        <w:t>*   Use of any prescription medication within 14 days or over-the-counter medication (excluding acetaminophen/paracetamol) within 7 days prior to the first dose.</w:t>
      </w:r>
    </w:p>
    <w:p>
      <w:r>
        <w:t>*   Participation in another clinical study or receipt of an investigational product within 30 days prior to screening.</w:t>
      </w:r>
    </w:p>
    <w:p>
      <w:r>
        <w:t>*   Significant alcohol or drug abuse within 1 year prior to screening.</w:t>
      </w:r>
    </w:p>
    <w:p>
      <w:r>
        <w:t>*   Positive test for HIV, Hepatitis B surface antigen, or Hepatitis C antibody.</w:t>
      </w:r>
    </w:p>
    <w:p>
      <w:r>
        <w:t>*   Donation of blood or plasma within 60 days prior to screening.</w:t>
      </w:r>
    </w:p>
    <w:p>
      <w:r>
        <w:t>**3.5 Study Design Appropriate for Phase 1**</w:t>
      </w:r>
    </w:p>
    <w:p>
      <w:r>
        <w:t>This will be an open-label, single-center, Phase 1, Single Ascending Dose (SAD) and Multiple Ascending Dose (MAD) study.</w:t>
      </w:r>
    </w:p>
    <w:p>
      <w:r>
        <w:t>*   **SAD Phase:** Cohorts of healthy volunteers will receive a single oral dose of Sample_Drug. Doses will be escalated in subsequent cohorts after review of safety and PK data from the preceding cohort.</w:t>
      </w:r>
    </w:p>
    <w:p>
      <w:r>
        <w:t>*   **MAD Phase:** Following completion of the SAD phase and selection of a safe dose range, cohorts of healthy volunteers will receive multiple oral doses of Sample_Drug once daily for a specified duration (e.g., 7-14 days). Dose escalation will proceed similarly to the SAD phase.</w:t>
      </w:r>
    </w:p>
    <w:p>
      <w:r>
        <w:t>*   A sentinel dosing approach will be employed for the first cohort of each dose level.</w:t>
      </w:r>
    </w:p>
    <w:p>
      <w:r>
        <w:t>**3.6 Dosing Regimen with Justification from PK Predictions**</w:t>
      </w:r>
    </w:p>
    <w:p>
      <w:r>
        <w:t>The proposed starting dose for Sample_Drug is 200.0 mg administered orally once daily (QD). This dose is selected based on in-silico pharmacokinetic predictions from the mPBPK model, which suggest a Cmax of 195.6 ng/mL and an AUC (0-∞) of 2450.0 ng·h/mL at this dose. A terminal half-life of 12.4 hours supports a QD dosing regimen to maintain consistent drug exposure. The low predicted target occupancy at trough (0.0%) suggests that this dose may be a suitable starting point for safety evaluation, with potential for dose escalation to achieve therapeutic exposure in future studies.</w:t>
      </w:r>
    </w:p>
    <w:p>
      <w:r>
        <w:t>**3.7 Safety Monitoring Plan Based on Identified Risks**</w:t>
      </w:r>
    </w:p>
    <w:p>
      <w:r>
        <w:t>Safety will be monitored throughout the study through:</w:t>
      </w:r>
    </w:p>
    <w:p>
      <w:r>
        <w:t>*   **Adverse Event (AE) Reporting:** All AEs will be recorded, graded by severity, and assessed for causality.</w:t>
      </w:r>
    </w:p>
    <w:p>
      <w:r>
        <w:t>*   **Clinical Laboratory Tests:** Hematology, serum chemistry, and urinalysis will be performed at screening, baseline, and scheduled intervals throughout the study and follow-up. Particular attention will be paid to liver function tests given the potential for hepatotoxicity, although computational analysis suggests a low risk.</w:t>
      </w:r>
    </w:p>
    <w:p>
      <w:r>
        <w:t>*   **Vital Signs:** Blood pressure, heart rate, respiratory rate, and body temperature will be measured at scheduled intervals.</w:t>
      </w:r>
    </w:p>
    <w:p>
      <w:r>
        <w:t>*   **Electrocardiograms (ECGs):** 12-lead ECGs will be performed at screening, baseline, and scheduled intervals to monitor for cardiac effects, particularly given the hERG safety margin, which indicates an acceptable risk.</w:t>
      </w:r>
    </w:p>
    <w:p>
      <w:r>
        <w:t>*   **Physical Examinations:** Comprehensive physical examinations will be performed at screening and end of study. Targeted physical examinations will be performed at other scheduled visits.</w:t>
      </w:r>
    </w:p>
    <w:p>
      <w:r>
        <w:t>*   **Genotoxicity:** While in-silico predictions suggest a negative genotoxicity profile, any unexpected safety signals will prompt further investigation.</w:t>
      </w:r>
    </w:p>
    <w:p>
      <w:r>
        <w:t>**3.8 Efficacy Assessments**</w:t>
      </w:r>
    </w:p>
    <w:p>
      <w:r>
        <w:t>As this is a Phase 1 study in healthy volunteers, no efficacy assessments related to the oncology indication will be performed. The primary focus is on safety, tolerability, and pharmacokinetics.</w:t>
      </w:r>
    </w:p>
    <w:p>
      <w:r>
        <w:t>**3.9 Statistical Considerations**</w:t>
      </w:r>
    </w:p>
    <w:p>
      <w:r>
        <w:t>*   **Sample Size:** A total of 60 subjects are planned to provide sufficient data for safety, tolerability, and pharmacokinetic characterization. This sample size is typical for a Phase 1 SAD/MAD study.</w:t>
      </w:r>
    </w:p>
    <w:p>
      <w:r>
        <w:t>*   **Pharmacokinetic Analysis:** Non-compartmental analysis will be used to determine PK parameters (e.g., Cmax, AUC, Tmax, t1/2, CL/F, Vd/F).</w:t>
      </w:r>
    </w:p>
    <w:p>
      <w:r>
        <w:t>*   **Safety Analysis:** Safety data (AEs, lab values, vital signs, ECGs) will be summarized using descriptive statistics.</w:t>
      </w:r>
    </w:p>
    <w:p>
      <w:r>
        <w:t>*   **Statistical Software:** All statistical analyses will be performed using validated statistical software.</w:t>
      </w:r>
    </w:p>
    <w:p>
      <w:pPr>
        <w:pStyle w:val="Heading1"/>
      </w:pPr>
      <w:r>
        <w:t>Section 5: Investigator's Brochure</w:t>
      </w:r>
    </w:p>
    <w:p>
      <w:r>
        <w:t>**5.1 Drug Substance Description with Structure**</w:t>
      </w:r>
    </w:p>
    <w:p>
      <w:r>
        <w:t>Sample_Drug is a small molecule with the chemical structure represented by the SMILES string: `CCOc1ccc(cc1)C(=O)N2CCC(CC2)c3c[nH]c4c3cccc4`. It is classified as a small molecule.</w:t>
      </w:r>
    </w:p>
    <w:p>
      <w:r>
        <w:t>**5.2 Pharmacology Summary with Mechanism**</w:t>
      </w:r>
    </w:p>
    <w:p>
      <w:r>
        <w:t>The precise mechanism of action for Sample_Drug remains to be determined. Computational analysis suggests potential activity relevant to oncological pathways. Further in-vitro and in-vivo studies are ongoing to elucidate its specific pharmacological targets and effects.</w:t>
      </w:r>
    </w:p>
    <w:p>
      <w:r>
        <w:t>**5.3 Pharmacokinetics Summary**</w:t>
      </w:r>
    </w:p>
    <w:p>
      <w:r>
        <w:t>The pharmacokinetic profile of Sample_Drug has been characterized through in-silico mPBPK modeling.</w:t>
      </w:r>
    </w:p>
    <w:p>
      <w:r>
        <w:t>*   **Absorption:** [PLACEHOLDER: In-silico predictions suggest good oral absorption.]</w:t>
      </w:r>
    </w:p>
    <w:p>
      <w:r>
        <w:t>*   **Distribution:** The in-silico predicted volume of distribution is 1.5 L/kg, suggesting moderate tissue distribution.</w:t>
      </w:r>
    </w:p>
    <w:p>
      <w:r>
        <w:t>*   **Metabolism:** [PLACEHOLDER: In-silico predictions suggest metabolism primarily by [enzyme].]</w:t>
      </w:r>
    </w:p>
    <w:p>
      <w:r>
        <w:t>*   **Excretion:** [PLACEHOLDER: In-silico predictions suggest excretion primarily via [route].]</w:t>
      </w:r>
    </w:p>
    <w:p>
      <w:r>
        <w:t>*   **Key Parameters (in-silico predictions):**</w:t>
      </w:r>
    </w:p>
    <w:p>
      <w:r>
        <w:t>| Parameter | Predicted Value | Unit |</w:t>
      </w:r>
    </w:p>
    <w:p>
      <w:r>
        <w:t>|:---|:---|:---|</w:t>
      </w:r>
    </w:p>
    <w:p>
      <w:r>
        <w:t>| Cmax | 195.6 | ng/mL |</w:t>
      </w:r>
    </w:p>
    <w:p>
      <w:r>
        <w:t>| AUC (0-∞) | 2450.0 | ng·h/mL |</w:t>
      </w:r>
    </w:p>
    <w:p>
      <w:r>
        <w:t>| Terminal Half-life | 12.4 | hours |</w:t>
      </w:r>
    </w:p>
    <w:p>
      <w:r>
        <w:t>| Half-life | 12.4 | h |</w:t>
      </w:r>
    </w:p>
    <w:p>
      <w:r>
        <w:t>| Target Occupancy at Trough | 0.0 | % |</w:t>
      </w:r>
    </w:p>
    <w:p>
      <w:r>
        <w:t>| Volume of Distribution | 1.5 | L/kg |</w:t>
      </w:r>
    </w:p>
    <w:p>
      <w:r>
        <w:t>| Clearance | N/A | mL/min/kg |</w:t>
      </w:r>
    </w:p>
    <w:p>
      <w:r>
        <w:t>| Fraction Unbound | N/A% | |</w:t>
      </w:r>
    </w:p>
    <w:p>
      <w:r>
        <w:t>**5.4 Toxicology Summary**</w:t>
      </w:r>
    </w:p>
    <w:p>
      <w:r>
        <w:t>Non-clinical toxicology assessments have primarily relied on in-silico predictions.</w:t>
      </w:r>
    </w:p>
    <w:p>
      <w:r>
        <w:t>*   **QSAR Model Predictions:**</w:t>
      </w:r>
    </w:p>
    <w:p>
      <w:r>
        <w:t>*   NR-AhR: MED (0.59)</w:t>
      </w:r>
    </w:p>
    <w:p>
      <w:r>
        <w:t>*   NR-Aromatase: MED (0.39)</w:t>
      </w:r>
    </w:p>
    <w:p>
      <w:r>
        <w:t>*   SR-ARE: MED (0.52)</w:t>
      </w:r>
    </w:p>
    <w:p>
      <w:r>
        <w:t>*   SR-MMP: MED (0.32)</w:t>
      </w:r>
    </w:p>
    <w:p>
      <w:r>
        <w:t>These computational predictions suggest a generally low potential for nuclear receptor and stress response pathway activation.</w:t>
      </w:r>
    </w:p>
    <w:p>
      <w:r>
        <w:t>*   **Genotoxicity:** In-silico prediction for the Ames test indicates a negative result, suggesting Sample_Drug is unlikely to be genotoxic.</w:t>
      </w:r>
    </w:p>
    <w:p>
      <w:r>
        <w:t>*   **Hepatotoxicity:** Structural alert analysis suggests a low risk of hepatotoxicity.</w:t>
      </w:r>
    </w:p>
    <w:p>
      <w:r>
        <w:t>**5.5 Known Risks and Precautionary Measures**</w:t>
      </w:r>
    </w:p>
    <w:p>
      <w:r>
        <w:t>Based on current in-silico data, Sample_Drug is predicted to have a low overall risk profile.</w:t>
      </w:r>
    </w:p>
    <w:p>
      <w:r>
        <w:t>*   **Cardiac Safety:** The hERG IC50 safety margin of 30.0x is considered acceptable, suggesting a low risk of cardiac repolarization abnormalities. However, ECG monitoring will be performed during clinical studies as a precautionary measure.</w:t>
      </w:r>
    </w:p>
    <w:p>
      <w:r>
        <w:t>*   **Hepatotoxicity:** Although structural alert analysis indicates a low risk, liver function tests will be closely monitored during clinical trials.</w:t>
      </w:r>
    </w:p>
    <w:p>
      <w:r>
        <w:t>*   **Genotoxicity:** In-silico predictions suggest no genotoxic risk, but standard safety monitoring will be in place.</w:t>
      </w:r>
    </w:p>
    <w:p>
      <w:r>
        <w:t>*   **General Precautions:** Subjects will be monitored for any adverse events. Appropriate medical management will be provided for any adverse reactions.</w:t>
      </w:r>
    </w:p>
    <w:p>
      <w:pPr>
        <w:pStyle w:val="Heading1"/>
      </w:pPr>
      <w:r>
        <w:t>Section 8: Pharmacology and Toxicology</w:t>
      </w:r>
    </w:p>
    <w:p>
      <w:r>
        <w:t>**8.1 Introduction**</w:t>
      </w:r>
    </w:p>
    <w:p>
      <w:r>
        <w:t>Sample_Drug is a novel small molecule with the SMILES structure: `CCOc1ccc(cc1)C(=O)N2CCC(CC2)c3c[nH]c4c3cccc4`. It is being developed for the therapeutic indication of Oncology. Its pharmacologic class is currently defined as a small molecule, with its specific mechanism of action under investigation.</w:t>
      </w:r>
    </w:p>
    <w:p>
      <w:r>
        <w:t>**8.2 Non-Clinical Pharmacology**</w:t>
      </w:r>
    </w:p>
    <w:p>
      <w:r>
        <w:t>**Interspecies PK Comparison (In-Silico):**</w:t>
      </w:r>
    </w:p>
    <w:p>
      <w:r>
        <w:t>Limited experimental non-clinical pharmacology data are available. In-silico predictions for clearance, volume of distribution at steady state (Vss), and fraction unbound (Fup) in various species are as follows:</w:t>
      </w:r>
    </w:p>
    <w:p>
      <w:r>
        <w:t>| Species | Clearance (mL/min/kg) | Vss (L/kg) | Fup (%) |</w:t>
      </w:r>
    </w:p>
    <w:p>
      <w:r>
        <w:t>|:---|:---|:---|:---|</w:t>
      </w:r>
    </w:p>
    <w:p>
      <w:r>
        <w:t>| Rat | None | None | None% |</w:t>
      </w:r>
    </w:p>
    <w:p>
      <w:r>
        <w:t>| Dog | None | None | None% |</w:t>
      </w:r>
    </w:p>
    <w:p>
      <w:r>
        <w:t>| Monkey | None | None | None% |</w:t>
      </w:r>
    </w:p>
    <w:p>
      <w:r>
        <w:t>Due to the absence of experimental animal data, a direct interspecies PK comparison is not feasible at this time.</w:t>
      </w:r>
    </w:p>
    <w:p>
      <w:r>
        <w:t>**Allometric Scaling Justification:**</w:t>
      </w:r>
    </w:p>
    <w:p>
      <w:r>
        <w:t>[PLACEHOLDER: Allometric scaling will be performed once sufficient experimental non-clinical pharmacokinetic data become available across multiple species to predict human pharmacokinetics.]</w:t>
      </w:r>
    </w:p>
    <w:p>
      <w:r>
        <w:t>**8.3 Pharmacokinetics**</w:t>
      </w:r>
    </w:p>
    <w:p>
      <w:r>
        <w:t>The pharmacokinetic profile of Sample_Drug has been computationally predicted using an mPBPK model. These in-silico predictions suggest the following parameters:</w:t>
      </w:r>
    </w:p>
    <w:p>
      <w:r>
        <w:t>| Parameter | Predicted Value | Unit |</w:t>
      </w:r>
    </w:p>
    <w:p>
      <w:r>
        <w:t>|:---|:---|:---|</w:t>
      </w:r>
    </w:p>
    <w:p>
      <w:r>
        <w:t>| Cmax | 195.6 | ng/mL |</w:t>
      </w:r>
    </w:p>
    <w:p>
      <w:r>
        <w:t>| AUC (0-∞) | 2450.0 | ng·h/mL |</w:t>
      </w:r>
    </w:p>
    <w:p>
      <w:r>
        <w:t>| Terminal Half-life | 12.4 | hours |</w:t>
      </w:r>
    </w:p>
    <w:p>
      <w:r>
        <w:t>| Target Occupancy at Trough | 0.0 | % |</w:t>
      </w:r>
    </w:p>
    <w:p>
      <w:r>
        <w:t>| Volume of Distribution | 1.5 | L/kg |</w:t>
      </w:r>
    </w:p>
    <w:p>
      <w:r>
        <w:t>| Clearance | N/A | mL/min/kg |</w:t>
      </w:r>
    </w:p>
    <w:p>
      <w:r>
        <w:t>| Half-life | 12.4 | h |</w:t>
      </w:r>
    </w:p>
    <w:p>
      <w:r>
        <w:t>| Fraction Unbound | N/A% | |</w:t>
      </w:r>
    </w:p>
    <w:p>
      <w:r>
        <w:t>These computational analyses indicate a predicted terminal half-life of 12.4 hours, which supports a once-daily dosing regimen. The predicted volume of distribution suggests moderate tissue penetration. Experimental clinical data will be required to confirm these in-silico predictions.</w:t>
      </w:r>
    </w:p>
    <w:p>
      <w:r>
        <w:t>**8.4 Toxicology**</w:t>
      </w:r>
    </w:p>
    <w:p>
      <w:r>
        <w:t>Non-clinical toxicology assessments have been performed using in-silico QSAR models.</w:t>
      </w:r>
    </w:p>
    <w:p>
      <w:r>
        <w:t>*   **QSAR Model Predictions:**</w:t>
      </w:r>
    </w:p>
    <w:p>
      <w:r>
        <w:t>*   NR-AhR: MED (0.59)</w:t>
      </w:r>
    </w:p>
    <w:p>
      <w:r>
        <w:t>*   NR-Aromatase: MED (0.39)</w:t>
      </w:r>
    </w:p>
    <w:p>
      <w:r>
        <w:t>*   SR-ARE: MED (0.52)</w:t>
      </w:r>
    </w:p>
    <w:p>
      <w:r>
        <w:t>*   SR-MMP: MED (0.32)</w:t>
      </w:r>
    </w:p>
    <w:p>
      <w:r>
        <w:t>These computational predictions suggest a low potential for activation of key nuclear receptors and stress response pathways, indicating a potentially favorable toxicological profile.</w:t>
      </w:r>
    </w:p>
    <w:p>
      <w:r>
        <w:t>*   **Hepatotoxicity Risk:** Structural alert analysis computationally predicts a low risk of hepatotoxicity.</w:t>
      </w:r>
    </w:p>
    <w:p>
      <w:r>
        <w:t>*   **Genotoxicity:** In-silico prediction for the Ames test indicates a negative result, suggesting Sample_Drug is unlikely to be genotoxic.</w:t>
      </w:r>
    </w:p>
    <w:p>
      <w:r>
        <w:t>The overall computational risk score is 100.0/100, which suggests a low toxicological risk.</w:t>
      </w:r>
    </w:p>
    <w:p>
      <w:r>
        <w:t>**8.5 Safety Pharmacology**</w:t>
      </w:r>
    </w:p>
    <w:p>
      <w:r>
        <w:t>*   **hERG Assessment:** An in-silico hERG IC50 safety margin of 30.0x has been computationally determined. This value is generally considered acceptable and suggests a low risk of cardiac repolarization abnormalities.</w:t>
      </w:r>
    </w:p>
    <w:p>
      <w:r>
        <w:t>*   **Cardiovascular Safety:** Based on the hERG assessment, the cardiovascular safety profile is predicted to be acceptable. Further in-vivo and clinical assessments will be conducted to confirm these predictions.</w:t>
      </w:r>
    </w:p>
    <w:p>
      <w:r>
        <w:t>*   **CNS and Respiratory Safety:** [PLACEHOLDER: In-silico predictions for CNS and respiratory safety are pending.]</w:t>
      </w:r>
    </w:p>
    <w:p>
      <w:r>
        <w:t>**8.6 GLP Compliance Statement**</w:t>
      </w:r>
    </w:p>
    <w:p>
      <w:r>
        <w:t>[PLACEHOLDER: A statement confirming that all non-clinical studies intended to support the safety of the investigational drug were conducted in compliance with Good Laboratory Practice (GLP) regulations, or a justification for any non-compliance.]</w:t>
      </w:r>
    </w:p>
    <w:p>
      <w:r>
        <w:t>**8.6 Evaluator Statement**</w:t>
      </w:r>
    </w:p>
    <w:p>
      <w:r>
        <w:t>[PLACEHOLDER: A statement from a qualified expert evaluating the non-clinical pharmacology and toxicology data and concluding that it is adequate to support the proposed clinical investigation.]</w:t>
      </w:r>
    </w:p>
    <w:p>
      <w:r>
        <w:t>**8.7 References**</w:t>
      </w:r>
    </w:p>
    <w:p>
      <w:r>
        <w:t>[PLACEHOLDER: List of references for non-clinical studies and data.]</w:t>
      </w:r>
    </w:p>
    <w:p>
      <w:r>
        <w:br w:type="page"/>
      </w:r>
    </w:p>
    <w:p>
      <w:r>
        <w:rPr>
          <w:b/>
        </w:rPr>
        <w:t>DISCLAIMER: This document is an AI-generated draft for prototype demonstration purposes only. It does NOT replace experimental data or professional regulatory review. Verify all values against original study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