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Sample_Drugggg</w:t>
      </w:r>
    </w:p>
    <w:p>
      <w:pPr>
        <w:pStyle w:val="Heading2"/>
      </w:pPr>
      <w:r>
        <w:t>Section 1: Cover Page (FDA Form 1571)</w:t>
      </w:r>
    </w:p>
    <w:p>
      <w:r>
        <w:t>**DEPARTMENT OF HEALTH AND HUMAN SERVICES**</w:t>
      </w:r>
    </w:p>
    <w:p>
      <w:r>
        <w:t>**FOOD AND DRUG ADMINISTRATION**</w:t>
      </w:r>
    </w:p>
    <w:p>
      <w:r>
        <w:t>**INVESTIGATIONAL NEW DRUG APPLICATION (IND)**</w:t>
      </w:r>
    </w:p>
    <w:p>
      <w:r>
        <w:t>| Field | Detail |</w:t>
      </w:r>
    </w:p>
    <w:p>
      <w:r>
        <w:t>|:---|:---|</w:t>
      </w:r>
    </w:p>
    <w:p>
      <w:r>
        <w:t>| **1. Sponsor/Applicant** | |</w:t>
      </w:r>
    </w:p>
    <w:p>
      <w:r>
        <w:t>| Name | [Applicant Name - To Be Filled] |</w:t>
      </w:r>
    </w:p>
    <w:p>
      <w:r>
        <w:t>| Address | [Applicant Address - To Be Filled] |</w:t>
      </w:r>
    </w:p>
    <w:p>
      <w:r>
        <w:t>| Phone | [Phone Number - To Be Filled] |</w:t>
      </w:r>
    </w:p>
    <w:p>
      <w:r>
        <w:t>| **2. Application Date** | 2026-02-08 |</w:t>
      </w:r>
    </w:p>
    <w:p>
      <w:r>
        <w:t>| **3. Drug Identification** | |</w:t>
      </w:r>
    </w:p>
    <w:p>
      <w:r>
        <w:t>| Drug Name | Sample_Drugggg |</w:t>
      </w:r>
    </w:p>
    <w:p>
      <w:r>
        <w:t>| Drug Class | Small Molecule |</w:t>
      </w:r>
    </w:p>
    <w:p>
      <w:r>
        <w:t>| SMILES/Sequence | CCOc1ccc(cc1)C(=O)N2CCC(CC2)c3c[nH]c4c3cccc4 |</w:t>
      </w:r>
    </w:p>
    <w:p>
      <w:r>
        <w:t>| Therapeutic Indication | Oncology |</w:t>
      </w:r>
    </w:p>
    <w:p>
      <w:r>
        <w:t>| **4. Clinical Phase** | Phase 3 |</w:t>
      </w:r>
    </w:p>
    <w:p>
      <w:r>
        <w:t>| **5. Investigator Information** | |</w:t>
      </w:r>
    </w:p>
    <w:p>
      <w:r>
        <w:t>| Principal Investigator | [Principal Investigator Name - To Be Filled] |</w:t>
      </w:r>
    </w:p>
    <w:p>
      <w:r>
        <w:t>| Credentials | [Credentials - To Be Filled] |</w:t>
      </w:r>
    </w:p>
    <w:p>
      <w:r>
        <w:t>| Institution | [Research Institution - To Be Filled] |</w:t>
      </w:r>
    </w:p>
    <w:p>
      <w:r>
        <w:t>| Institution Address | [Institution Address - To Be Filled] |</w:t>
      </w:r>
    </w:p>
    <w:p>
      <w:r>
        <w:t>| IRB/Ethics Committee | [IRB Name - To Be Filled] |</w:t>
      </w:r>
    </w:p>
    <w:p>
      <w:r>
        <w:t>**6. Sponsor Commitments (21 CFR 312.23)**</w:t>
      </w:r>
    </w:p>
    <w:p>
      <w:r>
        <w:t>The sponsor commits to the following:</w:t>
      </w:r>
    </w:p>
    <w:p>
      <w:r>
        <w:t>*   To conduct the investigation in accordance with the protocol(s) contained in this application.</w:t>
      </w:r>
    </w:p>
    <w:p>
      <w:r>
        <w:t>*   To amend the IND as required by 21 CFR 312.30.</w:t>
      </w:r>
    </w:p>
    <w:p>
      <w:r>
        <w:t>*   To obtain informed consent from all subjects in accordance with 21 CFR 50.</w:t>
      </w:r>
    </w:p>
    <w:p>
      <w:r>
        <w:t>*   To ensure that the Institutional Review Board (IRB) that reviews the investigation is in compliance with 21 CFR 56.</w:t>
      </w:r>
    </w:p>
    <w:p>
      <w:r>
        <w:t>*   To ensure that all investigators conducting the investigation are qualified by training and experience and will comply with the requirements of 21 CFR 312.</w:t>
      </w:r>
    </w:p>
    <w:p>
      <w:r>
        <w:t>*   To maintain records and make reports in accordance with 21 CFR 312.57 and 312.58.</w:t>
      </w:r>
    </w:p>
    <w:p>
      <w:pPr>
        <w:pStyle w:val="Heading2"/>
      </w:pPr>
      <w:r>
        <w:t>Section 2: Introduction and General Investigational Plan</w:t>
      </w:r>
    </w:p>
    <w:p>
      <w:r>
        <w:t>**Cover Sheet: Drug Summary**</w:t>
      </w:r>
    </w:p>
    <w:p>
      <w:r>
        <w:t>| Field | Detail |</w:t>
      </w:r>
    </w:p>
    <w:p>
      <w:r>
        <w:t>|:---|:---|</w:t>
      </w:r>
    </w:p>
    <w:p>
      <w:r>
        <w:t>| Drug Name | Sample_Drugggg |</w:t>
      </w:r>
    </w:p>
    <w:p>
      <w:r>
        <w:t>| Drug Class | Small Molecule |</w:t>
      </w:r>
    </w:p>
    <w:p>
      <w:r>
        <w:t>| Indication | Oncology |</w:t>
      </w:r>
    </w:p>
    <w:p>
      <w:r>
        <w:t>| Proposed Dose | 130.0 mg QD |</w:t>
      </w:r>
    </w:p>
    <w:p>
      <w:r>
        <w:t>| Clinical Phase | Phase 3 |</w:t>
      </w:r>
    </w:p>
    <w:p>
      <w:r>
        <w:t>| Expected Enrollment | 1000 patients |</w:t>
      </w:r>
    </w:p>
    <w:p>
      <w:r>
        <w:t>| Study Duration | 12 weeks |</w:t>
      </w:r>
    </w:p>
    <w:p>
      <w:r>
        <w:t>**Introductory Statement with Scientific Rationale**</w:t>
      </w:r>
    </w:p>
    <w:p>
      <w:r>
        <w:t>Sample_Drugggg is a novel small molecule investigational drug proposed for the treatment of oncology. Preliminary in-silico and computational analyses suggest a potential therapeutic benefit in this indication. This Investigational New Drug application seeks to initiate a Phase 3 clinical trial to evaluate the efficacy and safety of Sample_Drugggg in a target population of adult patients with oncology.</w:t>
      </w:r>
    </w:p>
    <w:p>
      <w:r>
        <w:t>**Research Justification based on Indication**</w:t>
      </w:r>
    </w:p>
    <w:p>
      <w:r>
        <w:t>The current landscape of oncology treatments continues to present unmet medical needs, particularly for patient populations who may not respond adequately to existing therapies or who experience significant adverse events. Sample_Drugggg, based on its predicted pharmacological profile, suggests a novel approach to addressing these challenges. The proposed Phase 3 study aims to provide robust clinical evidence to support its potential as a new therapeutic option.</w:t>
      </w:r>
    </w:p>
    <w:p>
      <w:r>
        <w:t>**General Approach to Evaluation**</w:t>
      </w:r>
    </w:p>
    <w:p>
      <w:r>
        <w:t>The general investigational plan for Sample_Drugggg involves a comprehensive clinical development program, commencing with this pivotal Phase 3 study. This study is designed to assess the primary efficacy endpoints and further characterize the safety profile of Sample_Drugggg in a larger patient cohort. Subsequent studies, if warranted, may explore long-term safety, specific patient subpopulations, or alternative dosing regimens.</w:t>
      </w:r>
    </w:p>
    <w:p>
      <w:r>
        <w:t>**First-Year Study Summary**</w:t>
      </w:r>
    </w:p>
    <w:p>
      <w:r>
        <w:t>The initial year of investigation will focus on the execution of the proposed Phase 3 clinical trial. This study is planned to enroll approximately 1000 patients across multiple sites. The primary objective is to evaluate the efficacy of Sample_Drugggg over a 12-week treatment period, while also thoroughly assessing its safety and tolerability.</w:t>
      </w:r>
    </w:p>
    <w:p>
      <w:r>
        <w:t>**Risk Assessment based on Computational Predictions**</w:t>
      </w:r>
    </w:p>
    <w:p>
      <w:r>
        <w:t>Computational analysis and in-silico predictions suggest a generally favorable safety profile for Sample_Drugggg. The hERG IC50 safety margin is predicted to be 30.0x, which is considered acceptable. Structural alert analysis indicates a low hepatotoxicity risk. In-silico prediction for genotoxicity (Ames test) was negative. The overall risk score is computationally assessed as 100.0/100, interpreted as low. These predictions suggest that the drug may possess a manageable risk profile for clinical investigation.</w:t>
      </w:r>
    </w:p>
    <w:p>
      <w:pPr>
        <w:pStyle w:val="Heading2"/>
      </w:pPr>
      <w:r>
        <w:t>Section 3: Clinical Protocol</w:t>
      </w:r>
    </w:p>
    <w:p>
      <w:r>
        <w:t>**Protocol Synopsis Table**</w:t>
      </w:r>
    </w:p>
    <w:p>
      <w:r>
        <w:t>| Field | Detail |</w:t>
      </w:r>
    </w:p>
    <w:p>
      <w:r>
        <w:t>|:---|:---|</w:t>
      </w:r>
    </w:p>
    <w:p>
      <w:r>
        <w:t>| Protocol Title | A Phase 3, Randomized, Double-Blind, Placebo-Controlled Study to Evaluate the Efficacy and Safety of Sample_Drugggg in Adult Patients with Oncology |</w:t>
      </w:r>
    </w:p>
    <w:p>
      <w:r>
        <w:t>| Drug Name | Sample_Drugggg |</w:t>
      </w:r>
    </w:p>
    <w:p>
      <w:r>
        <w:t>| Indication | Oncology |</w:t>
      </w:r>
    </w:p>
    <w:p>
      <w:r>
        <w:t>| Phase | Phase 3 |</w:t>
      </w:r>
    </w:p>
    <w:p>
      <w:r>
        <w:t>| Study Design | Randomized, Double-Blind, Placebo-Controlled |</w:t>
      </w:r>
    </w:p>
    <w:p>
      <w:r>
        <w:t>| Target Population | MIX population, age 18-80 |</w:t>
      </w:r>
    </w:p>
    <w:p>
      <w:r>
        <w:t>| Proposed Dose | 130.0 mg QD |</w:t>
      </w:r>
    </w:p>
    <w:p>
      <w:r>
        <w:t>| Expected Enrollment | 1000 patients |</w:t>
      </w:r>
    </w:p>
    <w:p>
      <w:r>
        <w:t>| Study Duration | 12 weeks |</w:t>
      </w:r>
    </w:p>
    <w:p>
      <w:r>
        <w:t>| Primary Endpoint | [PLACEHOLDER: Primary Efficacy Endpoint, e.g., Progression-Free Survival] |</w:t>
      </w:r>
    </w:p>
    <w:p>
      <w:r>
        <w:t>| Secondary Endpoints | [PLACEHOLDER: Secondary Efficacy Endpoints, e.g., Overall Survival, Objective Response Rate] |</w:t>
      </w:r>
    </w:p>
    <w:p>
      <w:r>
        <w:t>**Primary and Secondary Objectives**</w:t>
      </w:r>
    </w:p>
    <w:p>
      <w:r>
        <w:t>*   **Primary Objective:** To evaluate the efficacy of Sample_Drugggg 130.0 mg QD compared to placebo in adult patients with oncology, as measured by [PLACEHOLDER: Primary Efficacy Endpoint, e.g., Progression-Free Survival (PFS)].</w:t>
      </w:r>
    </w:p>
    <w:p>
      <w:r>
        <w:t>*   **Secondary Objectives:**</w:t>
      </w:r>
    </w:p>
    <w:p>
      <w:r>
        <w:t>*   To assess the overall survival (OS) of Sample_Drugggg compared to placebo.</w:t>
      </w:r>
    </w:p>
    <w:p>
      <w:r>
        <w:t>*   To determine the objective response rate (ORR) and duration of response (DoR) of Sample_Drugggg.</w:t>
      </w:r>
    </w:p>
    <w:p>
      <w:r>
        <w:t>*   To evaluate the safety and tolerability profile of Sample_Drugggg.</w:t>
      </w:r>
    </w:p>
    <w:p>
      <w:r>
        <w:t>*   To assess the pharmacokinetics of Sample_Drugggg in the target patient population.</w:t>
      </w:r>
    </w:p>
    <w:p>
      <w:r>
        <w:t>*   To evaluate patient-reported outcomes (PROs) and quality of life (QoL).</w:t>
      </w:r>
    </w:p>
    <w:p>
      <w:r>
        <w:t>**Investigator Information**</w:t>
      </w:r>
    </w:p>
    <w:p>
      <w:r>
        <w:t>*   **Principal Investigator:** [Principal Investigator Name - To Be Filled]</w:t>
      </w:r>
    </w:p>
    <w:p>
      <w:r>
        <w:t>*   **Credentials:** [Credentials - To Be Filled]</w:t>
      </w:r>
    </w:p>
    <w:p>
      <w:r>
        <w:t>*   **Institution:** [Research Institution - To Be Filled]</w:t>
      </w:r>
    </w:p>
    <w:p>
      <w:r>
        <w:t>*   **Institution Address:** [Institution Address - To Be Filled]</w:t>
      </w:r>
    </w:p>
    <w:p>
      <w:r>
        <w:t>*   **IRB/Ethics Committee:** [IRB Name - To Be Filled]</w:t>
      </w:r>
    </w:p>
    <w:p>
      <w:r>
        <w:t>**Patient Selection Criteria**</w:t>
      </w:r>
    </w:p>
    <w:p>
      <w:r>
        <w:t>*   **Inclusion Criteria:**</w:t>
      </w:r>
    </w:p>
    <w:p>
      <w:r>
        <w:t>1.  Male or female patients aged 18 to 80 years, inclusive.</w:t>
      </w:r>
    </w:p>
    <w:p>
      <w:r>
        <w:t>2.  Histologically or cytologically confirmed diagnosis of [PLACEHOLDER: specific type of oncology, e.g., advanced solid tumor].</w:t>
      </w:r>
    </w:p>
    <w:p>
      <w:r>
        <w:t>3.  Measurable disease according to [PLACEHOLDER: e.g., RECIST 1.1 criteria].</w:t>
      </w:r>
    </w:p>
    <w:p>
      <w:r>
        <w:t>4.  Eastern Cooperative Oncology Group (ECOG) performance status of 0 or 1.</w:t>
      </w:r>
    </w:p>
    <w:p>
      <w:r>
        <w:t>5.  Adequate organ function, defined as:</w:t>
      </w:r>
    </w:p>
    <w:p>
      <w:r>
        <w:t>*   Absolute neutrophil count (ANC) ≥ 1.5 x 10^9/L</w:t>
      </w:r>
    </w:p>
    <w:p>
      <w:r>
        <w:t>*   Platelets ≥ 100 x 10^9/L</w:t>
      </w:r>
    </w:p>
    <w:p>
      <w:r>
        <w:t>*   Hemoglobin ≥ 9.0 g/dL</w:t>
      </w:r>
    </w:p>
    <w:p>
      <w:r>
        <w:t>*   Total bilirubin ≤ 1.5 x upper limit of normal (ULN)</w:t>
      </w:r>
    </w:p>
    <w:p>
      <w:r>
        <w:t>*   AST (SGOT) and ALT (SGPT) ≤ 2.5 x ULN (≤ 5 x ULN for patients with liver metastases)</w:t>
      </w:r>
    </w:p>
    <w:p>
      <w:r>
        <w:t>*   Serum creatinine ≤ 1.5 x ULN OR creatinine clearance ≥ 60 mL/min.</w:t>
      </w:r>
    </w:p>
    <w:p>
      <w:r>
        <w:t>6.  Life expectancy of at least 3 months.</w:t>
      </w:r>
    </w:p>
    <w:p>
      <w:r>
        <w:t>7.  Signed informed consent form.</w:t>
      </w:r>
    </w:p>
    <w:p>
      <w:r>
        <w:t>*   **Exclusion Criteria:**</w:t>
      </w:r>
    </w:p>
    <w:p>
      <w:r>
        <w:t>1.  Prior treatment with Sample_Drugggg or any investigational agent within 4 weeks prior to randomization.</w:t>
      </w:r>
    </w:p>
    <w:p>
      <w:r>
        <w:t>2.  Known active brain metastases or leptomeningeal disease.</w:t>
      </w:r>
    </w:p>
    <w:p>
      <w:r>
        <w:t>3.  Significant cardiovascular disease (e.g., uncontrolled hypertension, unstable angina, myocardial infarction within 6 months, New York Heart Association Class III or IV congestive heart failure).</w:t>
      </w:r>
    </w:p>
    <w:p>
      <w:r>
        <w:t>4.  Active, uncontrolled infection requiring systemic therapy.</w:t>
      </w:r>
    </w:p>
    <w:p>
      <w:r>
        <w:t>5.  Known history of human immunodeficiency virus (HIV) infection, active hepatitis B, or hepatitis C.</w:t>
      </w:r>
    </w:p>
    <w:p>
      <w:r>
        <w:t>6.  Pregnant or breastfeeding women. Women of childbearing potential and fertile men must agree to use highly effective contraception during the study and for a specified period thereafter.</w:t>
      </w:r>
    </w:p>
    <w:p>
      <w:r>
        <w:t>7.  Any other severe acute or chronic medical condition or laboratory abnormality that, in the opinion of the investigator, would make the patient unsuitable for the study.</w:t>
      </w:r>
    </w:p>
    <w:p>
      <w:r>
        <w:t>**Study Design**</w:t>
      </w:r>
    </w:p>
    <w:p>
      <w:r>
        <w:t>This is a Phase 3, multicenter, randomized, double-blind, placebo-controlled clinical trial. Approximately 1000 eligible patients will be randomized in a 1:1 ratio to receive either Sample_Drugggg 130.0 mg QD or matching placebo QD. Treatment will continue for 12 weeks or until disease progression, unacceptable toxicity, or withdrawal of consent. Patients will be stratified by [PLACEHOLDER: e.g., prior lines of therapy, tumor type, geographic region]. Efficacy and safety assessments will be conducted at specified intervals throughout the study.</w:t>
      </w:r>
    </w:p>
    <w:p>
      <w:r>
        <w:t>**Dosing Regimen with Justification from PK Predictions**</w:t>
      </w:r>
    </w:p>
    <w:p>
      <w:r>
        <w:t>The proposed dosing regimen for Sample_Drugggg is 130.0 mg administered orally once daily (QD). This dose is supported by in-silico pharmacokinetic (PK) predictions from a mPBPK model. Computational analysis predicts a Cmax of 20182.358 ng/mL and an AUC (0-∞) of 7774.497 ng·h/mL following administration. The predicted terminal half-life is 7.505 hours, which suggests a QD dosing regimen may be appropriate to maintain therapeutic concentrations. In-silico modeling indicates a target occupancy at trough of 0.0%, which may warrant further investigation regarding the relationship between exposure and pharmacodynamic effect. The volume of distribution is computationally predicted at 2.590 L/kg.</w:t>
      </w:r>
    </w:p>
    <w:p>
      <w:r>
        <w:t>**Safety Monitoring Plan based on Identified Risks**</w:t>
      </w:r>
    </w:p>
    <w:p>
      <w:r>
        <w:t>A comprehensive safety monitoring plan will be implemented. Adverse events (AEs) will be collected and graded according to CTCAE v5.0. Regular laboratory assessments (hematology, chemistry, urinalysis) will be performed. Electrocardiograms (ECGs) will be conducted at baseline and periodically throughout the study to monitor for potential cardiac effects, particularly given the hERG IC50 safety margin of 30.0x, which is considered acceptable but warrants monitoring. Liver function tests will be closely monitored due to the general potential for hepatotoxicity with novel agents, although structural alert analysis indicates a low hepatotoxicity risk for Sample_Drugggg. Genotoxicity, based on in-silico Ames prediction, was negative, suggesting a low risk in this area. All serious adverse events (SAEs) will be reported in accordance with regulatory requirements. An independent Data Monitoring Committee (DMC) will periodically review unblinded safety data.</w:t>
      </w:r>
    </w:p>
    <w:p>
      <w:r>
        <w:t>**Efficacy Assessments**</w:t>
      </w:r>
    </w:p>
    <w:p>
      <w:r>
        <w:t>Efficacy will be assessed at baseline and every [PLACEHOLDER: e.g., 6 weeks] thereafter until disease progression. Tumor response will be evaluated by independent central review according to [PLACEHOLDER: e.g., RECIST 1.1 criteria]. Primary efficacy endpoint will be [PLACEHOLDER: e.g., Progression-Free Survival]. Secondary efficacy endpoints will include Overall Survival, Objective Response Rate, Duration of Response, and Disease Control Rate.</w:t>
      </w:r>
    </w:p>
    <w:p>
      <w:r>
        <w:t>**Statistical Considerations**</w:t>
      </w:r>
    </w:p>
    <w:p>
      <w:r>
        <w:t>The sample size of 1000 patients (500 per arm) is calculated to provide [PLACEHOLDER: e.g., 80%] power to detect a statistically significant difference in the primary endpoint of [PLACEHOLDER: e.g., Progression-Free Survival] between the Sample_Drugggg arm and the placebo arm, assuming a [PLACEHOLDER: e.g., hazard ratio of 0.7] and a two-sided alpha level of 0.05. The primary efficacy analysis will be performed on the intent-to-treat (ITT) population. Kaplan-Meier methodology will be used for time-to-event endpoints, and hazard ratios will be estimated using Cox proportional hazards models. Categorical endpoints will be analyzed using chi-square or Fisher's exact tests. Continuous endpoints will be analyzed using t-tests or Wilcoxon rank-sum tests, as appropriate.</w:t>
      </w:r>
    </w:p>
    <w:p>
      <w:pPr>
        <w:pStyle w:val="Heading2"/>
      </w:pPr>
      <w:r>
        <w:t>Section 5: Investigator's Brochure</w:t>
      </w:r>
    </w:p>
    <w:p>
      <w:r>
        <w:t>**Drug Substance Description with Structure**</w:t>
      </w:r>
    </w:p>
    <w:p>
      <w:r>
        <w:t>Sample_Drugggg is a small molecule investigational drug. Its chemical structure is represented by the SMILES string: CCOc1ccc(cc1)C(=O)N2CCC(CC2)c3c[nH]c4c3cccc4. It is classified as a small molecule.</w:t>
      </w:r>
    </w:p>
    <w:p>
      <w:r>
        <w:t>**Pharmacology Summary with Mechanism**</w:t>
      </w:r>
    </w:p>
    <w:p>
      <w:r>
        <w:t>Sample_Drugggg is intended for the therapeutic indication of oncology. The precise mechanism of action is [Mechanism of Action - To Be Determined]. In-silico and computational analyses suggest its potential activity in oncology.</w:t>
      </w:r>
    </w:p>
    <w:p>
      <w:r>
        <w:t>**Pharmacokinetics Summary (mPBPK data, clearly marked as in-silico)**</w:t>
      </w:r>
    </w:p>
    <w:p>
      <w:r>
        <w:t>Pharmacokinetic parameters for Sample_Drugggg have been computationally predicted using an in-silico mPBPK model.</w:t>
      </w:r>
    </w:p>
    <w:p>
      <w:r>
        <w:t>*   **In-silico Cmax:** 20182.358 ng/mL</w:t>
      </w:r>
    </w:p>
    <w:p>
      <w:r>
        <w:t>*   **In-silico AUC (0-∞):** 7774.497 ng·h/mL</w:t>
      </w:r>
    </w:p>
    <w:p>
      <w:r>
        <w:t>*   **In-silico Terminal Half-life:** 7.505 hours</w:t>
      </w:r>
    </w:p>
    <w:p>
      <w:r>
        <w:t>*   **In-silico Target Occupancy at Trough:** 0.0%</w:t>
      </w:r>
    </w:p>
    <w:p>
      <w:r>
        <w:t>*   **In-silico Volume of Distribution:** 2.590 L/kg</w:t>
      </w:r>
    </w:p>
    <w:p>
      <w:r>
        <w:t>*   **In-silico Clearance:** N/A</w:t>
      </w:r>
    </w:p>
    <w:p>
      <w:r>
        <w:t>*   **In-silico Half-life:** 7.505 h</w:t>
      </w:r>
    </w:p>
    <w:p>
      <w:r>
        <w:t>*   **In-silico Fraction Unbound:** N/A%</w:t>
      </w:r>
    </w:p>
    <w:p>
      <w:r>
        <w:t>These values are based on computational predictions and require confirmation through clinical pharmacokinetic studies.</w:t>
      </w:r>
    </w:p>
    <w:p>
      <w:r>
        <w:t>**Toxicology Summary (QSAR data, clearly marked as predictions)**</w:t>
      </w:r>
    </w:p>
    <w:p>
      <w:r>
        <w:t>Non-clinical toxicology assessments have primarily relied on in-silico QSAR model predictions.</w:t>
      </w:r>
    </w:p>
    <w:p>
      <w:r>
        <w:t>*   **NR-AhR:** Computational prediction indicates a Medium Effect Dose (MED) of 0.59.</w:t>
      </w:r>
    </w:p>
    <w:p>
      <w:r>
        <w:t>*   **NR-Aromatase:** Computational prediction indicates a Medium Effect Dose (MED) of 0.39.</w:t>
      </w:r>
    </w:p>
    <w:p>
      <w:r>
        <w:t>*   **SR-ARE:** Computational prediction indicates a Medium Effect Dose (MED) of 0.52.</w:t>
      </w:r>
    </w:p>
    <w:p>
      <w:r>
        <w:t>*   **SR-MMP:** Computational prediction indicates a Medium Effect Dose (MED) of 0.32.</w:t>
      </w:r>
    </w:p>
    <w:p>
      <w:r>
        <w:t>*   **Genotoxicity (Ames):** In-silico prediction suggests a negative result, indicating a low genotoxic risk.</w:t>
      </w:r>
    </w:p>
    <w:p>
      <w:r>
        <w:t>*   **Hepatotoxicity Risk:** Structural alert analysis suggests a low risk of hepatotoxicity.</w:t>
      </w:r>
    </w:p>
    <w:p>
      <w:r>
        <w:t>These predictions suggest a potentially manageable toxicology profile, but require validation through in vivo non-clinical studies.</w:t>
      </w:r>
    </w:p>
    <w:p>
      <w:r>
        <w:t>**Known Risks and Precautionary Measures**</w:t>
      </w:r>
    </w:p>
    <w:p>
      <w:r>
        <w:t>Based on available in-silico data, Sample_Drugggg is computationally predicted to have a low overall risk score (100.0/100, interpreted as low).</w:t>
      </w:r>
    </w:p>
    <w:p>
      <w:r>
        <w:t>*   **Cardiac Safety:** The hERG IC50 safety margin is computationally predicted at 30.0x, which is considered acceptable. However, cardiac monitoring (e.g., ECGs) is recommended during clinical trials as a precautionary measure.</w:t>
      </w:r>
    </w:p>
    <w:p>
      <w:r>
        <w:t>*   **Hepatotoxicity:** Structural alert analysis indicates a low risk of hepatotoxicity. Nevertheless, liver function should be monitored throughout clinical investigation.</w:t>
      </w:r>
    </w:p>
    <w:p>
      <w:r>
        <w:t>*   **Genotoxicity:** In-silico prediction for genotoxicity (Ames) was negative, suggesting a low risk.</w:t>
      </w:r>
    </w:p>
    <w:p>
      <w:r>
        <w:t>*   **General Precautionary Measures:** Standard precautions for investigational oncology agents should be followed, including careful monitoring for adverse events, appropriate dose adjustments if necessary, and adherence to protocol-defined safety assessments.</w:t>
      </w:r>
    </w:p>
    <w:p>
      <w:pPr>
        <w:pStyle w:val="Heading2"/>
      </w:pPr>
      <w:r>
        <w:t>Section 8: Pharmacology and Toxicology</w:t>
      </w:r>
    </w:p>
    <w:p>
      <w:r>
        <w:t>**8.1 Introduction**</w:t>
      </w:r>
    </w:p>
    <w:p>
      <w:r>
        <w:t>Sample_Drugggg is a small molecule investigational drug with the SMILES string: CCOc1ccc(cc1)C(=O)N2CCC(CC2)c3c[nH]c4c3cccc4. It is being developed for the therapeutic indication of oncology. Its pharmacologic class is a small molecule, and its precise mechanism of action is [Mechanism of Action - To Be Determined].</w:t>
      </w:r>
    </w:p>
    <w:p>
      <w:r>
        <w:t>**8.2 Non-Clinical Pharmacology**</w:t>
      </w:r>
    </w:p>
    <w:p>
      <w:r>
        <w:t>*   **Interspecies PK Comparison (Rat, Dog, Monkey vs Human):**</w:t>
      </w:r>
    </w:p>
    <w:p>
      <w:r>
        <w:t>Non-clinical pharmacokinetic data from animal models (Rat, Dog, Monkey) are currently not available.</w:t>
      </w:r>
    </w:p>
    <w:p>
      <w:r>
        <w:t>| Species | Clearance (mL/min/kg) | Vss (L/kg) | Fup (%) |</w:t>
      </w:r>
    </w:p>
    <w:p>
      <w:r>
        <w:t>|:---|:---|:---|:---|</w:t>
      </w:r>
    </w:p>
    <w:p>
      <w:r>
        <w:t>| Rat | None | None | None% |</w:t>
      </w:r>
    </w:p>
    <w:p>
      <w:r>
        <w:t>| Dog | None | None | None% |</w:t>
      </w:r>
    </w:p>
    <w:p>
      <w:r>
        <w:t>| Monkey | None | None | None% |</w:t>
      </w:r>
    </w:p>
    <w:p>
      <w:r>
        <w:t>Therefore, a direct interspecies comparison of pharmacokinetic parameters cannot be performed at this time.</w:t>
      </w:r>
    </w:p>
    <w:p>
      <w:r>
        <w:t>*   **Allometric Scaling Justification:**</w:t>
      </w:r>
    </w:p>
    <w:p>
      <w:r>
        <w:t>Due to the absence of experimental non-clinical pharmacokinetic data across multiple species, allometric scaling for human dose prediction cannot be justified based on empirical data. Human pharmacokinetic parameters are currently derived solely from in-silico mPBPK modeling. [PLACEHOLDER: Further non-clinical studies are planned to generate in vivo PK data for allometric scaling.]</w:t>
      </w:r>
    </w:p>
    <w:p>
      <w:r>
        <w:t>**8.3 Pharmacokinetics (mPBPK predictions with appropriate caveats)**</w:t>
      </w:r>
    </w:p>
    <w:p>
      <w:r>
        <w:t>Pharmacokinetic parameters for Sample_Drugggg have been computationally derived from an in-silico mPBPK model. These predictions provide an initial understanding of the drug's disposition in humans.</w:t>
      </w:r>
    </w:p>
    <w:p>
      <w:r>
        <w:t>*   **In-silico Cmax:** 20182.358 ng/mL</w:t>
      </w:r>
    </w:p>
    <w:p>
      <w:r>
        <w:t>*   **In-silico AUC (0-∞):** 7774.497 ng·h/mL</w:t>
      </w:r>
    </w:p>
    <w:p>
      <w:r>
        <w:t>*   **In-silico Terminal Half-life:** 7.505 hours</w:t>
      </w:r>
    </w:p>
    <w:p>
      <w:r>
        <w:t>*   **In-silico Target Occupancy at Trough:** 0.0%</w:t>
      </w:r>
    </w:p>
    <w:p>
      <w:r>
        <w:t>*   **In-silico Volume of Distribution:** 2.590 L/kg</w:t>
      </w:r>
    </w:p>
    <w:p>
      <w:r>
        <w:t>*   **In-silico Clearance:** N/A</w:t>
      </w:r>
    </w:p>
    <w:p>
      <w:r>
        <w:t>*   **In-silico Half-life:** 7.505 h</w:t>
      </w:r>
    </w:p>
    <w:p>
      <w:r>
        <w:t>*   **In-silico Fraction Unbound:** N/A%</w:t>
      </w:r>
    </w:p>
    <w:p>
      <w:r>
        <w:t>It is important to note that these values are based on computational modeling and require experimental validation in clinical studies. The predicted target occupancy at trough of 0.0% suggests that the proposed dosing regimen may need further evaluation regarding its pharmacodynamic effect, or that the target occupancy model may require refinement.</w:t>
      </w:r>
    </w:p>
    <w:p>
      <w:r>
        <w:t>**8.4 Toxicology (QSAR predictions with risk interpretation)**</w:t>
      </w:r>
    </w:p>
    <w:p>
      <w:r>
        <w:t>Toxicology assessments for Sample_Drugggg have been conducted primarily through in-silico QSAR modeling, providing predictive insights into potential toxicological liabilities.</w:t>
      </w:r>
    </w:p>
    <w:p>
      <w:r>
        <w:t>*   **Nuclear Receptor (NR) and Stress Response (SR) Pathway Predictions:**</w:t>
      </w:r>
    </w:p>
    <w:p>
      <w:r>
        <w:t>*   NR-AhR: Computational analysis predicts a Medium Effect Dose (MED) of 0.59. This suggests a potential for interaction with the Aryl Hydrocarbon Receptor, which could be associated with xenobiotic metabolism or other physiological effects.</w:t>
      </w:r>
    </w:p>
    <w:p>
      <w:r>
        <w:t>*   NR-Aromatase: Computational analysis predicts a Medium Effect Dose (MED) of 0.39. This indicates a potential for interaction with aromatase, which could influence steroid hormone synthesis.</w:t>
      </w:r>
    </w:p>
    <w:p>
      <w:r>
        <w:t>*   SR-ARE: Computational analysis predicts a Medium Effect Dose (MED) of 0.52. This suggests potential activation of the Antioxidant Response Element pathway, often associated with cellular defense mechanisms.</w:t>
      </w:r>
    </w:p>
    <w:p>
      <w:r>
        <w:t>*   SR-MMP: Computational analysis predicts a Medium Effect Dose (MED) of 0.32. This indicates a potential for interaction with Matrix Metalloproteinases.</w:t>
      </w:r>
    </w:p>
    <w:p>
      <w:r>
        <w:t>*   **Hepatotoxicity Risk:** Structural alert analysis computationally predicts a low risk of hepatotoxicity.</w:t>
      </w:r>
    </w:p>
    <w:p>
      <w:r>
        <w:t>*   **Genotoxicity (Ames):** In-silico prediction for the Ames test was negative, suggesting Sample_Drugggg is unlikely to be genotoxic.</w:t>
      </w:r>
    </w:p>
    <w:p>
      <w:r>
        <w:t>*   **Overall Risk Score:** The overall risk score is computationally assessed as 100.0/100, interpreted as low.</w:t>
      </w:r>
    </w:p>
    <w:p>
      <w:r>
        <w:t>These in-silico predictions provide an initial safety signal profile, suggesting a potentially manageable toxicological profile. However, these findings necessitate confirmation through comprehensive in vivo non-clinical toxicology studies.</w:t>
      </w:r>
    </w:p>
    <w:p>
      <w:r>
        <w:t>**8.5 Safety Pharmacology (hERG assessment, CV safety)**</w:t>
      </w:r>
    </w:p>
    <w:p>
      <w:r>
        <w:t>Safety pharmacology assessments have focused on potential cardiovascular effects based on computational predictions.</w:t>
      </w:r>
    </w:p>
    <w:p>
      <w:r>
        <w:t>*   **hERG IC50 Safety Margin:** The hERG IC50 safety margin is computationally predicted to be 30.0x. This value is generally considered acceptable and suggests a low risk of hERG channel inhibition at anticipated therapeutic concentrations.</w:t>
      </w:r>
    </w:p>
    <w:p>
      <w:r>
        <w:t>*   **Cardiovascular (CV) Safety:** Based on the acceptable hERG safety margin, the computational analysis suggests a low risk of QT prolongation and associated cardiac arrhythmias. However, as with all novel investigational agents, clinical monitoring of cardiac parameters (e.g., ECGs) will be implemented during human studies.</w:t>
      </w:r>
    </w:p>
    <w:p>
      <w:r>
        <w:t>**8.6 GLP Compliance Statement**</w:t>
      </w:r>
    </w:p>
    <w:p>
      <w:r>
        <w:t>[PLACEHOLDER: A statement confirming that all non-clinical laboratory studies intended to support the safety of Sample_Drugggg were conducted in compliance with Good Laboratory Practice (GLP) regulations as set forth in 21 CFR Part 58, or a justification for any non-GLP studies.]</w:t>
      </w:r>
    </w:p>
    <w:p>
      <w:r>
        <w:t>**8.6 Evaluator Statement**</w:t>
      </w:r>
    </w:p>
    <w:p>
      <w:r>
        <w:t>[PLACEHOLDER: A statement from the sponsor regarding the qualifications of the individuals who evaluated the non-clinical pharmacology and toxicology data.]</w:t>
      </w:r>
    </w:p>
    <w:p>
      <w:r>
        <w:t>**8.7 References**</w:t>
      </w:r>
    </w:p>
    <w:p>
      <w:r>
        <w:t>[PLACEHOLDER: A list of all references cited in this section, including published literature, internal reports, and computational model documentation.]</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