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IND APPLICATION: Sample_Drugggg</w:t>
      </w:r>
    </w:p>
    <w:p>
      <w:pPr>
        <w:pStyle w:val="Heading2"/>
      </w:pPr>
      <w:r>
        <w:t>Section 1: Cover Page (FDA Form 1571)</w:t>
      </w:r>
    </w:p>
    <w:p>
      <w:r>
        <w:t>**DEPARTMENT OF HEALTH AND HUMAN SERVICES**</w:t>
      </w:r>
    </w:p>
    <w:p>
      <w:r>
        <w:t>**FOOD AND DRUG ADMINISTRATION**</w:t>
      </w:r>
    </w:p>
    <w:p>
      <w:r>
        <w:t>**APPLICATION FOR INVESTIGATIONAL NEW DRUG (IND)**</w:t>
      </w:r>
    </w:p>
    <w:p>
      <w:r>
        <w:t>| Field | Detail |</w:t>
      </w:r>
    </w:p>
    <w:p>
      <w:r>
        <w:t>|:---|:---|</w:t>
      </w:r>
    </w:p>
    <w:p>
      <w:r>
        <w:t>| **1. SPONSOR** | |</w:t>
      </w:r>
    </w:p>
    <w:p>
      <w:r>
        <w:t>| Name | Economy Park |</w:t>
      </w:r>
    </w:p>
    <w:p>
      <w:r>
        <w:t>| Address | Incheon, Jung-Gu |</w:t>
      </w:r>
    </w:p>
    <w:p>
      <w:r>
        <w:t>| Phone | 01012345678 |</w:t>
      </w:r>
    </w:p>
    <w:p>
      <w:r>
        <w:t>| **2. DATE OF APPLICATION** | 2026-02-08 |</w:t>
      </w:r>
    </w:p>
    <w:p>
      <w:r>
        <w:t>| **3. NAME OF DRUG** | Sample_Drugggg |</w:t>
      </w:r>
    </w:p>
    <w:p>
      <w:r>
        <w:t>| **4. INDICATION** | Oncology |</w:t>
      </w:r>
    </w:p>
    <w:p>
      <w:r>
        <w:t>| **5. PHASE OF STUDY** | Phase 3 |</w:t>
      </w:r>
    </w:p>
    <w:p>
      <w:r>
        <w:t>| **6. PREVIOUS IND NO.** | [PLACEHOLDER: Previous IND Number] |</w:t>
      </w:r>
    </w:p>
    <w:p>
      <w:r>
        <w:t>| **7. PROTOCOL NO.** | [PLACEHOLDER: Protocol Number] |</w:t>
      </w:r>
    </w:p>
    <w:p>
      <w:r>
        <w:t>| **8. INVESTIGATOR** | Dr. Hazel Jung |</w:t>
      </w:r>
    </w:p>
    <w:p>
      <w:r>
        <w:t>| Institution | Ground21 |</w:t>
      </w:r>
    </w:p>
    <w:p>
      <w:r>
        <w:t>| Address | Incheon, Gyeyang |</w:t>
      </w:r>
    </w:p>
    <w:p>
      <w:r>
        <w:t>| **9. IRB/ETHICS COMMITTEE** | Booooooarddd |</w:t>
      </w:r>
    </w:p>
    <w:p>
      <w:r>
        <w:t>**Sponsor Commitments (21 CFR 312.23)**</w:t>
      </w:r>
    </w:p>
    <w:p>
      <w:r>
        <w:t>The sponsor, Economy Park, commits to the following:</w:t>
      </w:r>
    </w:p>
    <w:p>
      <w:r>
        <w:t>*   To conduct the investigation in compliance with the relevant regulations set forth in 21 CFR Part 312.</w:t>
      </w:r>
    </w:p>
    <w:p>
      <w:r>
        <w:t>*   To promptly report any adverse experiences that may occur in the course of the investigation in accordance with 21 CFR 312.32.</w:t>
      </w:r>
    </w:p>
    <w:p>
      <w:r>
        <w:t>*   To ensure that all investigators are qualified and informed of their obligations.</w:t>
      </w:r>
    </w:p>
    <w:p>
      <w:r>
        <w:t>*   To obtain informed consent from all subjects participating in the study.</w:t>
      </w:r>
    </w:p>
    <w:p>
      <w:r>
        <w:t>*   To maintain accurate and complete records of all aspects of the investigation.</w:t>
      </w:r>
    </w:p>
    <w:p>
      <w:pPr>
        <w:pStyle w:val="Heading2"/>
      </w:pPr>
      <w:r>
        <w:t>Section 2: Introduction and General Investigational Plan</w:t>
      </w:r>
    </w:p>
    <w:p>
      <w:r>
        <w:t>**Cover Sheet: Drug Summary**</w:t>
      </w:r>
    </w:p>
    <w:p>
      <w:r>
        <w:t>| Field | Detail |</w:t>
      </w:r>
    </w:p>
    <w:p>
      <w:r>
        <w:t>|:---|:---|</w:t>
      </w:r>
    </w:p>
    <w:p>
      <w:r>
        <w:t>| Drug Name | Sample_Drugggg |</w:t>
      </w:r>
    </w:p>
    <w:p>
      <w:r>
        <w:t>| Drug Class | Small Molecule |</w:t>
      </w:r>
    </w:p>
    <w:p>
      <w:r>
        <w:t>| Indication | Oncology |</w:t>
      </w:r>
    </w:p>
    <w:p>
      <w:r>
        <w:t>| Proposed Dose | 130.0 mg QD |</w:t>
      </w:r>
    </w:p>
    <w:p>
      <w:r>
        <w:t>| Phase | Phase 3 |</w:t>
      </w:r>
    </w:p>
    <w:p>
      <w:r>
        <w:t>| Enrollment | 1000 patients |</w:t>
      </w:r>
    </w:p>
    <w:p>
      <w:r>
        <w:t>| Duration | 12 weeks |</w:t>
      </w:r>
    </w:p>
    <w:p>
      <w:r>
        <w:t>**Introductory Statement with Scientific Rationale**</w:t>
      </w:r>
    </w:p>
    <w:p>
      <w:r>
        <w:t>Sample_Drugggg is a novel small molecule investigational drug proposed for the treatment of Oncology. The scientific rationale for Sample_Drugggg is based on its chemical structure, CCOc1ccc(cc1)C(=O)N2CCC(CC2)c3c[nH]c4c3cccc4, which computational analysis suggests may interact with [PLACEHOLDER: specific molecular target] relevant to oncogenic pathways. While the precise mechanism of action remains to be fully elucidated, preliminary in-silico assessments indicate a potential therapeutic benefit in the context of Oncology.</w:t>
      </w:r>
    </w:p>
    <w:p>
      <w:r>
        <w:t>**Research Justification Based on Indication**</w:t>
      </w:r>
    </w:p>
    <w:p>
      <w:r>
        <w:t>The current landscape of Oncology treatments continues to present unmet medical needs, particularly for patients who may not respond adequately to existing therapies or who experience significant adverse effects. Sample_Drugggg is being developed to address these needs by offering a potentially novel therapeutic approach. The proposed Phase 3 clinical trial is designed to evaluate the efficacy and safety of Sample_Drugggg in a target population of patients aged 18-80 with Oncology.</w:t>
      </w:r>
    </w:p>
    <w:p>
      <w:r>
        <w:t>**General Approach to Evaluation**</w:t>
      </w:r>
    </w:p>
    <w:p>
      <w:r>
        <w:t>The general investigational plan for Sample_Drugggg involves a comprehensive clinical development program, commencing with this pivotal Phase 3 study. The primary objective is to demonstrate the efficacy and confirm the safety profile of Sample_Drugggg at a proposed dose of 130.0 mg administered once daily (QD). The study will enroll a MIX population of 1000 patients and will span a duration of 12 weeks. Data collected will include efficacy endpoints relevant to Oncology and a thorough assessment of safety and tolerability.</w:t>
      </w:r>
    </w:p>
    <w:p>
      <w:r>
        <w:t>**First-Year Study Summary**</w:t>
      </w:r>
    </w:p>
    <w:p>
      <w:r>
        <w:t>The initial year of the investigational plan will focus entirely on the execution and monitoring of the proposed Phase 3 clinical trial. This study aims to enroll approximately 1000 patients with Oncology, aged 18-80, to receive Sample_Drugggg 130.0 mg QD for 12 weeks. The primary goal is to gather definitive efficacy and safety data to support a potential marketing application.</w:t>
      </w:r>
    </w:p>
    <w:p>
      <w:r>
        <w:t>**Risk Assessment Based on Computational Predictions**</w:t>
      </w:r>
    </w:p>
    <w:p>
      <w:r>
        <w:t>Based on available in-silico and computational predictions:</w:t>
      </w:r>
    </w:p>
    <w:p>
      <w:r>
        <w:t>*   **hERG IC50 Safety Margin:** A safety margin of 30.0x suggests an acceptable cardiac safety profile with respect to hERG inhibition.</w:t>
      </w:r>
    </w:p>
    <w:p>
      <w:r>
        <w:t>*   **Hepatotoxicity Risk:** Structural alert analysis indicates a low risk of hepatotoxicity.</w:t>
      </w:r>
    </w:p>
    <w:p>
      <w:r>
        <w:t>*   **Genotoxicity (Ames):** In-silico prediction for genotoxicity (Ames test) is negative, suggesting a low genotoxic risk.</w:t>
      </w:r>
    </w:p>
    <w:p>
      <w:r>
        <w:t>*   **Overall Risk Score:** An overall risk score of 100.0/100 further supports a low predicted risk profile for Sample_Drugggg.</w:t>
      </w:r>
    </w:p>
    <w:p>
      <w:r>
        <w:t>These computational assessments suggest a favorable preliminary safety profile, supporting progression to a Phase 3 clinical trial.</w:t>
      </w:r>
    </w:p>
    <w:p>
      <w:pPr>
        <w:pStyle w:val="Heading2"/>
      </w:pPr>
      <w:r>
        <w:t>Section 3: Clinical Protocol</w:t>
      </w:r>
    </w:p>
    <w:p>
      <w:r>
        <w:t>**Protocol Title:** A Phase 3, Randomized, Double-Blind, Placebo-Controlled Study to Evaluate the Efficacy and Safety of Sample_Drugggg in Patients with Oncology.</w:t>
      </w:r>
    </w:p>
    <w:p>
      <w:r>
        <w:t>**Protocol Synopsis Table**</w:t>
      </w:r>
    </w:p>
    <w:p>
      <w:r>
        <w:t>| Field | Detail |</w:t>
      </w:r>
    </w:p>
    <w:p>
      <w:r>
        <w:t>|:---|:---|</w:t>
      </w:r>
    </w:p>
    <w:p>
      <w:r>
        <w:t>| Protocol No. | [PLACEHOLDER: Protocol Number] |</w:t>
      </w:r>
    </w:p>
    <w:p>
      <w:r>
        <w:t>| Study Phase | Phase 3 |</w:t>
      </w:r>
    </w:p>
    <w:p>
      <w:r>
        <w:t>| Indication | Oncology |</w:t>
      </w:r>
    </w:p>
    <w:p>
      <w:r>
        <w:t>| Drug Name | Sample_Drugggg |</w:t>
      </w:r>
    </w:p>
    <w:p>
      <w:r>
        <w:t>| Dosing | 130.0 mg QD |</w:t>
      </w:r>
    </w:p>
    <w:p>
      <w:r>
        <w:t>| Route | Oral |</w:t>
      </w:r>
    </w:p>
    <w:p>
      <w:r>
        <w:t>| Enrollment | 1000 patients |</w:t>
      </w:r>
    </w:p>
    <w:p>
      <w:r>
        <w:t>| Duration | 12 weeks |</w:t>
      </w:r>
    </w:p>
    <w:p>
      <w:r>
        <w:t>| Primary Obj. | Efficacy |</w:t>
      </w:r>
    </w:p>
    <w:p>
      <w:r>
        <w:t>| Secondary Obj. | Safety, PK |</w:t>
      </w:r>
    </w:p>
    <w:p>
      <w:r>
        <w:t>| Study Design | Randomized, Double-Blind, Placebo-Controlled |</w:t>
      </w:r>
    </w:p>
    <w:p>
      <w:r>
        <w:t>| Target Pop. | MIX population, age 18-80 |</w:t>
      </w:r>
    </w:p>
    <w:p>
      <w:r>
        <w:t>**Primary and Secondary Objectives**</w:t>
      </w:r>
    </w:p>
    <w:p>
      <w:r>
        <w:t>*   **Primary Objective:**</w:t>
      </w:r>
    </w:p>
    <w:p>
      <w:r>
        <w:t>*   To evaluate the efficacy of Sample_Drugggg 130.0 mg QD compared to placebo in patients with Oncology, as measured by [PLACEHOLDER: specific primary efficacy endpoint, e.g., Progression-Free Survival (PFS)].</w:t>
      </w:r>
    </w:p>
    <w:p>
      <w:r>
        <w:t>*   **Secondary Objectives:**</w:t>
      </w:r>
    </w:p>
    <w:p>
      <w:r>
        <w:t>*   To assess the overall survival (OS) in patients treated with Sample_Drugggg compared to placebo.</w:t>
      </w:r>
    </w:p>
    <w:p>
      <w:r>
        <w:t>*   To evaluate the objective response rate (ORR) and disease control rate (DCR) in patients treated with Sample_Drugggg.</w:t>
      </w:r>
    </w:p>
    <w:p>
      <w:r>
        <w:t>*   To characterize the safety and tolerability profile of Sample_Drugggg.</w:t>
      </w:r>
    </w:p>
    <w:p>
      <w:r>
        <w:t>*   To assess the pharmacokinetics (PK) of Sample_Drugggg in the target patient population.</w:t>
      </w:r>
    </w:p>
    <w:p>
      <w:r>
        <w:t>*   To evaluate the impact of Sample_Drugggg on patient-reported outcomes (PROs).</w:t>
      </w:r>
    </w:p>
    <w:p>
      <w:r>
        <w:t>**Investigator Information**</w:t>
      </w:r>
    </w:p>
    <w:p>
      <w:r>
        <w:t>*   **Principal Investigator:** Dr. Hazel Jung</w:t>
      </w:r>
    </w:p>
    <w:p>
      <w:r>
        <w:t>*   **Credentials:** PM</w:t>
      </w:r>
    </w:p>
    <w:p>
      <w:r>
        <w:t>*   **Institution:** Ground21</w:t>
      </w:r>
    </w:p>
    <w:p>
      <w:r>
        <w:t>*   **Institution Address:** Incheon, Gyeyang</w:t>
      </w:r>
    </w:p>
    <w:p>
      <w:r>
        <w:t>*   **IRB/Ethics Committee:** Booooooarddd</w:t>
      </w:r>
    </w:p>
    <w:p>
      <w:r>
        <w:t>**Patient Selection Criteria**</w:t>
      </w:r>
    </w:p>
    <w:p>
      <w:r>
        <w:t>*   **Inclusion Criteria:**</w:t>
      </w:r>
    </w:p>
    <w:p>
      <w:r>
        <w:t>*   Male or female patients aged 18 to 80 years, inclusive.</w:t>
      </w:r>
    </w:p>
    <w:p>
      <w:r>
        <w:t>*   Histologically or cytologically confirmed diagnosis of Oncology.</w:t>
      </w:r>
    </w:p>
    <w:p>
      <w:r>
        <w:t>*   Measurable disease according to [PLACEHOLDER: specific criteria, e.g., RECIST 1.1].</w:t>
      </w:r>
    </w:p>
    <w:p>
      <w:r>
        <w:t>*   Eastern Cooperative Oncology Group (ECOG) performance status of 0 or 1.</w:t>
      </w:r>
    </w:p>
    <w:p>
      <w:r>
        <w:t>*   Adequate organ function, as defined by:</w:t>
      </w:r>
    </w:p>
    <w:p>
      <w:r>
        <w:t>*   Absolute neutrophil count (ANC) ≥ 1.5 x 10^9/L</w:t>
      </w:r>
    </w:p>
    <w:p>
      <w:r>
        <w:t>*   Platelets ≥ 100 x 10^9/L</w:t>
      </w:r>
    </w:p>
    <w:p>
      <w:r>
        <w:t>*   Hemoglobin ≥ 9.0 g/dL</w:t>
      </w:r>
    </w:p>
    <w:p>
      <w:r>
        <w:t>*   Total bilirubin ≤ 1.5 x upper limit of normal (ULN)</w:t>
      </w:r>
    </w:p>
    <w:p>
      <w:r>
        <w:t>*   AST and ALT ≤ 2.5 x ULN (≤ 5 x ULN for liver metastases)</w:t>
      </w:r>
    </w:p>
    <w:p>
      <w:r>
        <w:t>*   Serum creatinine ≤ 1.5 x ULN OR creatinine clearance ≥ 60 mL/min.</w:t>
      </w:r>
    </w:p>
    <w:p>
      <w:r>
        <w:t>*   Life expectancy of at least 3 months.</w:t>
      </w:r>
    </w:p>
    <w:p>
      <w:r>
        <w:t>*   Signed informed consent.</w:t>
      </w:r>
    </w:p>
    <w:p>
      <w:r>
        <w:t>*   **Exclusion Criteria:**</w:t>
      </w:r>
    </w:p>
    <w:p>
      <w:r>
        <w:t>*   Prior treatment with Sample_Drugggg or other agents targeting [PLACEHOLDER: specific pathway].</w:t>
      </w:r>
    </w:p>
    <w:p>
      <w:r>
        <w:t>*   Known active brain metastases or leptomeningeal disease.</w:t>
      </w:r>
    </w:p>
    <w:p>
      <w:r>
        <w:t>*   Major surgery within 4 weeks prior to randomization.</w:t>
      </w:r>
    </w:p>
    <w:p>
      <w:r>
        <w:t>*   Active infection requiring systemic therapy.</w:t>
      </w:r>
    </w:p>
    <w:p>
      <w:r>
        <w:t>*   History of severe hypersensitivity reaction to any component of Sample_Drugggg.</w:t>
      </w:r>
    </w:p>
    <w:p>
      <w:r>
        <w:t>*   Pregnant or breastfeeding women.</w:t>
      </w:r>
    </w:p>
    <w:p>
      <w:r>
        <w:t>*   Patients with uncontrolled cardiovascular disease, including unstable angina, myocardial infarction within 6 months, or New York Heart Association (NYHA) Class III or IV congestive heart failure.</w:t>
      </w:r>
    </w:p>
    <w:p>
      <w:r>
        <w:t>*   Any other severe acute or chronic medical condition or laboratory abnormality that may increase the risk associated with study participation or interfere with the interpretation of study results.</w:t>
      </w:r>
    </w:p>
    <w:p>
      <w:r>
        <w:t>**Study Design**</w:t>
      </w:r>
    </w:p>
    <w:p>
      <w:r>
        <w:t>This will be a Phase 3, multi-center, randomized, double-blind, placebo-controlled study. Approximately 1000 eligible patients will be randomized in a [PLACEHOLDER: e.g., 2:1] ratio to receive either Sample_Drugggg 130.0 mg QD or placebo QD. Treatment will continue for 12 weeks or until disease progression, unacceptable toxicity, or withdrawal of consent. The study will include a screening period, a treatment period, and a follow-up period. Blinding will be maintained for both patients and investigators.</w:t>
      </w:r>
    </w:p>
    <w:p>
      <w:r>
        <w:t>**Dosing Regimen with Justification from PK Predictions**</w:t>
      </w:r>
    </w:p>
    <w:p>
      <w:r>
        <w:t>The proposed dosing regimen for Sample_Drugggg is 130.0 mg administered orally once daily (QD). This dose is supported by in-silico mPBPK model predictions which suggest that a 130.0 mg QD dose may achieve a Cmax of 20182.35829194565 ng/mL and an AUC (0-∞) of 7774.497313665033 ng·h/mL. The predicted terminal half-life of 7.50490205844597 hours suggests that once-daily dosing is appropriate to maintain therapeutic concentrations. Computational analysis predicts a target occupancy at trough of 0.0%, which will require further investigation to correlate with efficacy.</w:t>
      </w:r>
    </w:p>
    <w:p>
      <w:r>
        <w:t>**Safety Monitoring Plan Based on Identified Risks**</w:t>
      </w:r>
    </w:p>
    <w:p>
      <w:r>
        <w:t>A comprehensive safety monitoring plan will be implemented. Adverse events (AEs) will be collected and graded according to the National Cancer Institute Common Terminology Criteria for Adverse Events (NCI CTCAE) version 5.0. Regular physical examinations, vital signs, electrocardiograms (ECGs), and laboratory assessments (hematology, serum chemistry, urinalysis) will be performed throughout the study. Given the in-silico prediction of low hepatotoxicity risk, liver function tests will be closely monitored. The acceptable hERG IC50 safety margin (30.0x) suggests a low risk of cardiac repolarization abnormalities, but ECGs will be routinely performed to monitor for any cardiac safety signals. All serious adverse events (SAEs) will be reported promptly to the sponsor and regulatory authorities. An independent Data Monitoring Committee (DMC) will periodically review unblinded safety data.</w:t>
      </w:r>
    </w:p>
    <w:p>
      <w:r>
        <w:t>**Efficacy Assessments**</w:t>
      </w:r>
    </w:p>
    <w:p>
      <w:r>
        <w:t>Efficacy will be assessed at scheduled intervals throughout the study.</w:t>
      </w:r>
    </w:p>
    <w:p>
      <w:r>
        <w:t>*   **Tumor Response:** Tumor assessments will be performed using imaging techniques (e.g., CT, MRI) at baseline and every [PLACEHOLDER: e.g., 6 weeks] thereafter, according to [PLACEHOLDER: e.g., RECIST 1.1] criteria.</w:t>
      </w:r>
    </w:p>
    <w:p>
      <w:r>
        <w:t>*   **Progression-Free Survival (PFS):** Defined as the time from randomization to the first documented disease progression or death from any cause, whichever occurs first.</w:t>
      </w:r>
    </w:p>
    <w:p>
      <w:r>
        <w:t>*   **Overall Survival (OS):** Defined as the time from randomization to death from any cause.</w:t>
      </w:r>
    </w:p>
    <w:p>
      <w:r>
        <w:t>*   **Objective Response Rate (ORR):** The proportion of patients with a confirmed complete response (CR) or partial response (PR).</w:t>
      </w:r>
    </w:p>
    <w:p>
      <w:r>
        <w:t>*   **Disease Control Rate (DCR):** The proportion of patients with a confirmed CR, PR, or stable disease (SD).</w:t>
      </w:r>
    </w:p>
    <w:p>
      <w:r>
        <w:t>*   **Patient-Reported Outcomes (PROs):** Quality of life and symptom burden will be assessed using validated questionnaires.</w:t>
      </w:r>
    </w:p>
    <w:p>
      <w:r>
        <w:t>**Statistical Considerations**</w:t>
      </w:r>
    </w:p>
    <w:p>
      <w:r>
        <w:t>*   **Sample Size:** A total of 1000 patients are planned for enrollment. This sample size is estimated to provide [PLACEHOLDER: e.g., 90%] power to detect a statistically significant difference in the primary efficacy endpoint (e.g., PFS) between the Sample_Drugggg and placebo arms, assuming a [PLACEHOLDER: e.g., hazard ratio of 0.7] and a two-sided alpha level of 0.05.</w:t>
      </w:r>
    </w:p>
    <w:p>
      <w:r>
        <w:t>*   **Primary Endpoint Analysis:** The primary efficacy endpoint will be analyzed using a [PLACEHOLDER: e.g., log-rank test] for time-to-event data.</w:t>
      </w:r>
    </w:p>
    <w:p>
      <w:r>
        <w:t>*   **Secondary Endpoints Analysis:** Secondary endpoints will be analyzed using appropriate statistical methods, including [PLACEHOLDER: e.g., chi-square test for ORR/DCR, Kaplan-Meier for OS, t-tests or ANOVA for PROs].</w:t>
      </w:r>
    </w:p>
    <w:p>
      <w:r>
        <w:t>*   **Interim Analysis:** [PLACEHOLDER: e.g., One interim analysis for futility and/or efficacy may be planned].</w:t>
      </w:r>
    </w:p>
    <w:p>
      <w:r>
        <w:t>*   **Missing Data:** Strategies for handling missing data will be predefined.</w:t>
      </w:r>
    </w:p>
    <w:p>
      <w:r>
        <w:t>*   **Statistical Software:** All statistical analyses will be performed using validated statistical software.</w:t>
      </w:r>
    </w:p>
    <w:p>
      <w:pPr>
        <w:pStyle w:val="Heading2"/>
      </w:pPr>
      <w:r>
        <w:t>Section 5: Investigator's Brochure</w:t>
      </w:r>
    </w:p>
    <w:p>
      <w:r>
        <w:t>**Drug Substance Description with Structure**</w:t>
      </w:r>
    </w:p>
    <w:p>
      <w:r>
        <w:t>Sample_Drugggg is a novel small molecule investigational drug. Its chemical structure is represented by the SMILES string: CCOc1ccc(cc1)C(=O)N2CCC(CC2)c3c[nH]c4c3cccc4. The drug substance is a [PLACEHOLDER: e.g., white to off-white crystalline powder] with a molecular weight of [PLACEHOLDER: Molecular Weight].</w:t>
      </w:r>
    </w:p>
    <w:p>
      <w:r>
        <w:t>**Pharmacology Summary with Mechanism**</w:t>
      </w:r>
    </w:p>
    <w:p>
      <w:r>
        <w:t>Sample_Drugggg is classified as a small molecule intended for the treatment of Oncology. The precise mechanism of action is [Mechanism of Action - To Be Determined]. Computational analysis predicts that Sample_Drugggg may exert its therapeutic effects through [PLACEHOLDER: predicted pathway or target]. Further in-vitro and in-vivo studies are ongoing to fully characterize its pharmacological profile.</w:t>
      </w:r>
    </w:p>
    <w:p>
      <w:r>
        <w:t>**Pharmacokinetics Summary (mPBPK Model - In-Silico)**</w:t>
      </w:r>
    </w:p>
    <w:p>
      <w:r>
        <w:t>Pharmacokinetic parameters for Sample_Drugggg have been estimated through in-silico mPBPK modeling. These computational predictions suggest the following profile in humans:</w:t>
      </w:r>
    </w:p>
    <w:p>
      <w:r>
        <w:t>| Parameter | Predicted Value | Unit |</w:t>
      </w:r>
    </w:p>
    <w:p>
      <w:r>
        <w:t>|:---|:---|:---|</w:t>
      </w:r>
    </w:p>
    <w:p>
      <w:r>
        <w:t>| Cmax | 20182.35829194565 | ng/mL |</w:t>
      </w:r>
    </w:p>
    <w:p>
      <w:r>
        <w:t>| AUC (0-∞) | 7774.497313665033 | ng·h/mL |</w:t>
      </w:r>
    </w:p>
    <w:p>
      <w:r>
        <w:t>| Terminal Half-life | 7.50490205844597 | hours |</w:t>
      </w:r>
    </w:p>
    <w:p>
      <w:r>
        <w:t>| Target Occupancy at Trough | 0.0 | % |</w:t>
      </w:r>
    </w:p>
    <w:p>
      <w:r>
        <w:t>| Volume of Distribution | 2.590221522185766 | L/kg |</w:t>
      </w:r>
    </w:p>
    <w:p>
      <w:r>
        <w:t>| Clearance | [PLACEHOLDER: Clearance data] | mL/min/kg |</w:t>
      </w:r>
    </w:p>
    <w:p>
      <w:r>
        <w:t>| Half-life | 7.50490205844597 | h |</w:t>
      </w:r>
    </w:p>
    <w:p>
      <w:r>
        <w:t>| Fraction Unbound | [PLACEHOLDER: Fraction Unbound data] | % |</w:t>
      </w:r>
    </w:p>
    <w:p>
      <w:r>
        <w:t>These values are derived from computational models and require experimental validation in clinical studies.</w:t>
      </w:r>
    </w:p>
    <w:p>
      <w:r>
        <w:t>**Toxicology Summary (QSAR Model - In-Silico Predictions)**</w:t>
      </w:r>
    </w:p>
    <w:p>
      <w:r>
        <w:t>Non-clinical toxicology assessments for Sample_Drugggg have been primarily conducted through in-silico QSAR modeling. These computational predictions indicate:</w:t>
      </w:r>
    </w:p>
    <w:p>
      <w:r>
        <w:t>*   **NR-AhR:** MED (0.59)</w:t>
      </w:r>
    </w:p>
    <w:p>
      <w:r>
        <w:t>*   **NR-Aromatase:** MED (0.39)</w:t>
      </w:r>
    </w:p>
    <w:p>
      <w:r>
        <w:t>*   **SR-ARE:** MED (0.52)</w:t>
      </w:r>
    </w:p>
    <w:p>
      <w:r>
        <w:t>*   **SR-MMP:** MED (0.32)</w:t>
      </w:r>
    </w:p>
    <w:p>
      <w:r>
        <w:t>These values suggest a [PLACEHOLDER: e.g., moderate] potential for interaction with these nuclear receptors and stress response pathways. Further experimental toxicology studies are required to confirm these in-silico findings.</w:t>
      </w:r>
    </w:p>
    <w:p>
      <w:r>
        <w:t>**Known Risks and Precautionary Measures**</w:t>
      </w:r>
    </w:p>
    <w:p>
      <w:r>
        <w:t>Based on available in-silico safety assessments, Sample_Drugggg is predicted to have a generally low risk profile.</w:t>
      </w:r>
    </w:p>
    <w:p>
      <w:r>
        <w:t>*   **Cardiac Safety:** The hERG IC50 safety margin of 30.0x suggests an acceptable risk of cardiac repolarization effects. However, standard ECG monitoring is recommended during clinical trials.</w:t>
      </w:r>
    </w:p>
    <w:p>
      <w:r>
        <w:t>*   **Hepatotoxicity:** Structural alert analysis indicates a low risk of hepatotoxicity. Liver function tests should be monitored periodically.</w:t>
      </w:r>
    </w:p>
    <w:p>
      <w:r>
        <w:t>*   **Genotoxicity:** In-silico prediction for genotoxicity (Ames) is negative, suggesting a low genotoxic risk.</w:t>
      </w:r>
    </w:p>
    <w:p>
      <w:r>
        <w:t>*   **Overall Risk:** The overall risk score of 100.0/100 suggests a low predicted risk.</w:t>
      </w:r>
    </w:p>
    <w:p>
      <w:r>
        <w:t>Despite these favorable in-silico predictions, all patients should be closely monitored for adverse events during clinical investigation. Standard precautionary measures for investigational drugs should be followed, including careful patient selection and monitoring for any unexpected toxicities.</w:t>
      </w:r>
    </w:p>
    <w:p>
      <w:pPr>
        <w:pStyle w:val="Heading2"/>
      </w:pPr>
      <w:r>
        <w:t>Section 8: Pharmacology and Toxicology</w:t>
      </w:r>
    </w:p>
    <w:p>
      <w:r>
        <w:t>**8.1 Introduction**</w:t>
      </w:r>
    </w:p>
    <w:p>
      <w:r>
        <w:t>Sample_Drugggg is a small molecule investigational drug with the SMILES structure: CCOc1ccc(cc1)C(=O)N2CCC(CC2)c3c[nH]c4c3cccc4. It is being developed as a therapeutic agent for Oncology. The pharmacologic class is [PLACEHOLDER: Pharmacologic Class]. This section summarizes the available non-clinical pharmacology and toxicology data, primarily derived from in-silico models.</w:t>
      </w:r>
    </w:p>
    <w:p>
      <w:r>
        <w:t>**8.2 Non-Clinical Pharmacology**</w:t>
      </w:r>
    </w:p>
    <w:p>
      <w:r>
        <w:t>**Interspecies PK Comparison (Rat, Dog, Monkey vs Human)**</w:t>
      </w:r>
    </w:p>
    <w:p>
      <w:r>
        <w:t>Non-clinical pharmacokinetic data from animal models (Rat, Dog, Monkey) are not available for direct interspecies comparison.</w:t>
      </w:r>
    </w:p>
    <w:p>
      <w:r>
        <w:t>| Species | Clearance (mL/min/kg) | Vss (L/kg) | Fup (%) |</w:t>
      </w:r>
    </w:p>
    <w:p>
      <w:r>
        <w:t>|:---|:---|:---|:---|</w:t>
      </w:r>
    </w:p>
    <w:p>
      <w:r>
        <w:t>| Rat | None | None | None% |</w:t>
      </w:r>
    </w:p>
    <w:p>
      <w:r>
        <w:t>| Dog | None | None | None% |</w:t>
      </w:r>
    </w:p>
    <w:p>
      <w:r>
        <w:t>| Monkey | None | None | None% |</w:t>
      </w:r>
    </w:p>
    <w:p>
      <w:r>
        <w:t>**Allometric Scaling Justification**</w:t>
      </w:r>
    </w:p>
    <w:p>
      <w:r>
        <w:t>Due to the absence of experimental non-clinical pharmacokinetic data in animal species (Rat, Dog, Monkey), allometric scaling for human dose prediction or interspecies comparison cannot be performed at this time. [PLACEHOLDER: Further non-clinical studies are planned to generate this data.]</w:t>
      </w:r>
    </w:p>
    <w:p>
      <w:r>
        <w:t>**8.3 Pharmacokinetics (mPBPK predictions with appropriate caveats)**</w:t>
      </w:r>
    </w:p>
    <w:p>
      <w:r>
        <w:t>Human pharmacokinetic parameters for Sample_Drugggg have been computationally predicted using an in-silico mPBPK model. These predictions suggest a Cmax of 20182.35829194565 ng/mL and an AUC (0-∞) of 7774.497313665033 ng·h/mL following a 130.0 mg dose. The predicted terminal half-life is 7.50490205844597 hours, indicating a potential for once-daily dosing. The volume of distribution is computationally predicted at 2.590221522185766 L/kg. Clearance and fraction unbound data are not available from the current in-silico model. It is important to note that these are computational predictions and require experimental validation through clinical pharmacokinetic studies.</w:t>
      </w:r>
    </w:p>
    <w:p>
      <w:r>
        <w:t>**8.4 Toxicology (QSAR predictions with risk interpretation)**</w:t>
      </w:r>
    </w:p>
    <w:p>
      <w:r>
        <w:t>Toxicology assessments for Sample_Drugggg have been performed using in-silico QSAR models.</w:t>
      </w:r>
    </w:p>
    <w:p>
      <w:r>
        <w:t>*   **NR-AhR:** The predicted value is MED (0.59), suggesting a [PLACEHOLDER: e.g., moderate] potential for interaction with the Aryl hydrocarbon receptor.</w:t>
      </w:r>
    </w:p>
    <w:p>
      <w:r>
        <w:t>*   **NR-Aromatase:** The predicted value is MED (0.39), indicating a [PLACEHOLDER: e.g., low to moderate] potential for interaction with Aromatase.</w:t>
      </w:r>
    </w:p>
    <w:p>
      <w:r>
        <w:t>*   **SR-ARE:** The predicted value is MED (0.52), suggesting a [PLACEHOLDER: e.g., moderate] potential for activation of the Antioxidant Response Element.</w:t>
      </w:r>
    </w:p>
    <w:p>
      <w:r>
        <w:t>*   **SR-MMP:** The predicted value is MED (0.32), indicating a [PLACEHOLDER: e.g., low to moderate] potential for interaction with Matrix Metalloproteinases.</w:t>
      </w:r>
    </w:p>
    <w:p>
      <w:r>
        <w:t>These in-silico predictions suggest a generally manageable toxicological profile, with specific areas requiring further experimental investigation to confirm the computational findings. The in-silico genotoxicity (Ames) prediction was negative, suggesting a low risk of mutagenicity.</w:t>
      </w:r>
    </w:p>
    <w:p>
      <w:r>
        <w:t>**8.5 Safety Pharmacology (hERG assessment, CV safety)**</w:t>
      </w:r>
    </w:p>
    <w:p>
      <w:r>
        <w:t>Safety pharmacology assessments, primarily through in-silico modeling and structural analysis, indicate a favorable profile for Sample_Drugggg.</w:t>
      </w:r>
    </w:p>
    <w:p>
      <w:r>
        <w:t>*   **hERG Assessment:** An in-silico predicted hERG IC50 safety margin of 30.0x suggests a low risk of hERG channel inhibition at anticipated therapeutic concentrations, indicating an acceptable cardiac safety profile with respect to QT prolongation.</w:t>
      </w:r>
    </w:p>
    <w:p>
      <w:r>
        <w:t>*   **Cardiovascular Safety:** Based on the hERG assessment, the computational analysis predicts a low risk for significant cardiovascular adverse events related to cardiac repolarization. However, comprehensive cardiovascular safety monitoring will be conducted during clinical trials.</w:t>
      </w:r>
    </w:p>
    <w:p>
      <w:r>
        <w:t>**8.6 GLP Compliance Statement**</w:t>
      </w:r>
    </w:p>
    <w:p>
      <w:r>
        <w:t>[PLACEHOLDER: A statement confirming that all non-clinical studies intended to support the safety of the investigational drug were conducted in compliance with Good Laboratory Practice (GLP) regulations, or a justification for any non-compliance.]</w:t>
      </w:r>
    </w:p>
    <w:p>
      <w:r>
        <w:t>**8.6 Evaluator Statement**</w:t>
      </w:r>
    </w:p>
    <w:p>
      <w:r>
        <w:t>[PLACEHOLDER: A statement from a qualified expert evaluating the non-clinical data and concluding that it is sufficient to support the proposed clinical investigation.]</w:t>
      </w:r>
    </w:p>
    <w:p>
      <w:r>
        <w:t>**8.7 References**</w:t>
      </w:r>
    </w:p>
    <w:p>
      <w:r>
        <w:t>[PLACEHOLDER: List of all references cited in this section.]</w:t>
      </w:r>
    </w:p>
    <w:p>
      <w:r>
        <w:br w:type="page"/>
      </w:r>
    </w:p>
    <w:p>
      <w:r>
        <w:rPr>
          <w:b/>
        </w:rPr>
        <w:t>DISCLAIMER: This document is an AI-generated draft for prototype demonstration purposes only. It does NOT replace experimental data or professional regulatory review. Verify all values against original study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