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6472F" w:rsidRDefault="0006472F" w:rsidP="0006472F">
      <w:r>
        <w:t xml:space="preserve">I. </w:t>
      </w:r>
      <w:r w:rsidR="0081287F">
        <w:t xml:space="preserve">American </w:t>
      </w:r>
      <w:r w:rsidR="007160E8">
        <w:t>Economic System as a Social Problem</w:t>
      </w:r>
    </w:p>
    <w:p w:rsidR="0006472F" w:rsidRDefault="0006472F" w:rsidP="0006472F"/>
    <w:p w:rsidR="00E14B0A" w:rsidRDefault="0006472F" w:rsidP="003C7323">
      <w:r>
        <w:tab/>
        <w:t xml:space="preserve">A. </w:t>
      </w:r>
      <w:r w:rsidR="00E14B0A">
        <w:t>Monopoly Capitalism</w:t>
      </w:r>
    </w:p>
    <w:p w:rsidR="007160E8" w:rsidRDefault="007160E8" w:rsidP="003C7323"/>
    <w:p w:rsidR="007160E8" w:rsidRDefault="007160E8" w:rsidP="003C7323">
      <w:r>
        <w:tab/>
      </w:r>
      <w:r>
        <w:tab/>
        <w:t>1. multi-national corporations</w:t>
      </w:r>
    </w:p>
    <w:p w:rsidR="00E14B0A" w:rsidRDefault="00E14B0A" w:rsidP="00E14B0A">
      <w:pPr>
        <w:ind w:left="720" w:firstLine="720"/>
      </w:pPr>
    </w:p>
    <w:p w:rsidR="00E14B0A" w:rsidRDefault="007160E8" w:rsidP="003C7323">
      <w:pPr>
        <w:ind w:left="1440" w:hanging="720"/>
      </w:pPr>
      <w:r>
        <w:tab/>
        <w:t>2</w:t>
      </w:r>
      <w:r w:rsidR="00E14B0A">
        <w:t>. concentration of ownership</w:t>
      </w:r>
    </w:p>
    <w:p w:rsidR="00E14B0A" w:rsidRDefault="00E14B0A" w:rsidP="00E14B0A">
      <w:pPr>
        <w:ind w:left="720" w:firstLine="720"/>
      </w:pPr>
    </w:p>
    <w:p w:rsidR="00E14B0A" w:rsidRDefault="007160E8" w:rsidP="00E14B0A">
      <w:pPr>
        <w:ind w:left="720" w:firstLine="720"/>
      </w:pPr>
      <w:r>
        <w:t>3</w:t>
      </w:r>
      <w:r w:rsidR="00E14B0A">
        <w:t>. shared monopolies</w:t>
      </w:r>
    </w:p>
    <w:p w:rsidR="00E14B0A" w:rsidRDefault="00E14B0A" w:rsidP="00E14B0A">
      <w:pPr>
        <w:ind w:left="720" w:firstLine="720"/>
      </w:pPr>
    </w:p>
    <w:p w:rsidR="00E14B0A" w:rsidRDefault="007160E8" w:rsidP="00E14B0A">
      <w:pPr>
        <w:ind w:left="720" w:firstLine="720"/>
      </w:pPr>
      <w:r>
        <w:t>4</w:t>
      </w:r>
      <w:r w:rsidR="00E14B0A">
        <w:t>. interlocking directorates</w:t>
      </w:r>
    </w:p>
    <w:p w:rsidR="00E14B0A" w:rsidRDefault="00E14B0A" w:rsidP="00E14B0A">
      <w:pPr>
        <w:ind w:left="720" w:firstLine="720"/>
      </w:pPr>
    </w:p>
    <w:p w:rsidR="00790C91" w:rsidRDefault="007160E8" w:rsidP="003C7323">
      <w:pPr>
        <w:ind w:left="720" w:firstLine="720"/>
      </w:pPr>
      <w:r>
        <w:t>5</w:t>
      </w:r>
      <w:r w:rsidR="003C7323">
        <w:t xml:space="preserve">. </w:t>
      </w:r>
      <w:r w:rsidR="007C5270">
        <w:t>“persons” within meaning of the law</w:t>
      </w:r>
    </w:p>
    <w:p w:rsidR="007160E8" w:rsidRDefault="007160E8" w:rsidP="003C7323">
      <w:pPr>
        <w:ind w:left="720" w:firstLine="720"/>
      </w:pPr>
    </w:p>
    <w:p w:rsidR="007160E8" w:rsidRDefault="00CF460E" w:rsidP="003C7323">
      <w:pPr>
        <w:ind w:left="720" w:firstLine="720"/>
      </w:pPr>
      <w:r>
        <w:t>6. legal obligation</w:t>
      </w:r>
    </w:p>
    <w:p w:rsidR="00790C91" w:rsidRDefault="00790C91" w:rsidP="003C7323">
      <w:pPr>
        <w:ind w:left="720" w:firstLine="720"/>
      </w:pPr>
    </w:p>
    <w:p w:rsidR="00790C91" w:rsidRDefault="00790C91" w:rsidP="00790C91">
      <w:r>
        <w:tab/>
        <w:t xml:space="preserve">B. Reasons  </w:t>
      </w:r>
    </w:p>
    <w:p w:rsidR="00790C91" w:rsidRDefault="00790C91" w:rsidP="00790C91"/>
    <w:p w:rsidR="00790C91" w:rsidRDefault="00790C91" w:rsidP="00790C91">
      <w:r>
        <w:tab/>
      </w:r>
      <w:r>
        <w:tab/>
      </w:r>
      <w:r w:rsidR="00CF460E">
        <w:t>1</w:t>
      </w:r>
      <w:r>
        <w:t>. mergers</w:t>
      </w:r>
    </w:p>
    <w:p w:rsidR="00790C91" w:rsidRDefault="00790C91" w:rsidP="00790C91"/>
    <w:p w:rsidR="00790C91" w:rsidRDefault="00790C91" w:rsidP="00790C91">
      <w:r>
        <w:tab/>
      </w:r>
      <w:r>
        <w:tab/>
      </w:r>
      <w:r w:rsidR="00CF460E">
        <w:t>2</w:t>
      </w:r>
      <w:r>
        <w:t>. acquisitions</w:t>
      </w:r>
    </w:p>
    <w:p w:rsidR="00790C91" w:rsidRDefault="00790C91" w:rsidP="00790C91"/>
    <w:p w:rsidR="00790C91" w:rsidRDefault="00790C91" w:rsidP="00790C91">
      <w:r>
        <w:tab/>
      </w:r>
      <w:r>
        <w:tab/>
      </w:r>
      <w:r w:rsidR="00CF460E">
        <w:t>3</w:t>
      </w:r>
      <w:r>
        <w:t>. failure to regulate</w:t>
      </w:r>
    </w:p>
    <w:p w:rsidR="00790C91" w:rsidRDefault="00790C91" w:rsidP="00790C91"/>
    <w:p w:rsidR="00790C91" w:rsidRDefault="00790C91" w:rsidP="00790C91">
      <w:r>
        <w:tab/>
      </w:r>
      <w:r>
        <w:tab/>
      </w:r>
      <w:r w:rsidR="00CF460E">
        <w:t>4</w:t>
      </w:r>
      <w:r>
        <w:t>. deregulation</w:t>
      </w:r>
    </w:p>
    <w:p w:rsidR="00790C91" w:rsidRDefault="00790C91" w:rsidP="00790C91"/>
    <w:p w:rsidR="00790C91" w:rsidRDefault="00790C91" w:rsidP="00790C91">
      <w:r>
        <w:tab/>
        <w:t>C. Power and Monopoly capitalism</w:t>
      </w:r>
    </w:p>
    <w:p w:rsidR="00790C91" w:rsidRDefault="00790C91" w:rsidP="00790C91"/>
    <w:p w:rsidR="00790C91" w:rsidRDefault="00790C91" w:rsidP="00790C91">
      <w:r>
        <w:tab/>
      </w:r>
      <w:r>
        <w:tab/>
      </w:r>
      <w:r w:rsidR="00CF460E">
        <w:t>1</w:t>
      </w:r>
      <w:r>
        <w:t>. power over economy</w:t>
      </w:r>
    </w:p>
    <w:p w:rsidR="009C0D95" w:rsidRDefault="009C0D95" w:rsidP="00790C91"/>
    <w:p w:rsidR="009C0D95" w:rsidRDefault="009C0D95" w:rsidP="00790C91">
      <w:r>
        <w:tab/>
      </w:r>
      <w:r>
        <w:tab/>
      </w:r>
      <w:r>
        <w:tab/>
        <w:t>a. deindustrialization</w:t>
      </w:r>
    </w:p>
    <w:p w:rsidR="009C0D95" w:rsidRDefault="009C0D95" w:rsidP="00790C91"/>
    <w:p w:rsidR="009C0D95" w:rsidRDefault="009C0D95" w:rsidP="00790C91">
      <w:r>
        <w:tab/>
      </w:r>
      <w:r>
        <w:tab/>
      </w:r>
      <w:r>
        <w:tab/>
        <w:t>b.  r and d, prices</w:t>
      </w:r>
    </w:p>
    <w:p w:rsidR="00790C91" w:rsidRDefault="00790C91" w:rsidP="00790C91"/>
    <w:p w:rsidR="00790C91" w:rsidRDefault="00790C91" w:rsidP="00790C91">
      <w:r>
        <w:tab/>
      </w:r>
      <w:r>
        <w:tab/>
      </w:r>
      <w:r w:rsidR="00CF460E">
        <w:t>2</w:t>
      </w:r>
      <w:r>
        <w:t xml:space="preserve"> power over workers</w:t>
      </w:r>
    </w:p>
    <w:p w:rsidR="009C0D95" w:rsidRDefault="009C0D95" w:rsidP="00790C91"/>
    <w:p w:rsidR="009C0D95" w:rsidRDefault="009C0D95" w:rsidP="00790C91">
      <w:r>
        <w:tab/>
      </w:r>
      <w:r>
        <w:tab/>
        <w:t>3. power over communities</w:t>
      </w:r>
    </w:p>
    <w:p w:rsidR="00790C91" w:rsidRDefault="00790C91" w:rsidP="00790C91"/>
    <w:p w:rsidR="00790C91" w:rsidRDefault="00790C91" w:rsidP="00790C91">
      <w:r>
        <w:tab/>
      </w:r>
      <w:r>
        <w:tab/>
      </w:r>
      <w:r w:rsidR="009C0D95">
        <w:t>4</w:t>
      </w:r>
      <w:r>
        <w:t>. power over political system</w:t>
      </w:r>
    </w:p>
    <w:p w:rsidR="00790C91" w:rsidRDefault="00790C91" w:rsidP="00790C91"/>
    <w:p w:rsidR="00790C91" w:rsidRDefault="009C0D95" w:rsidP="00790C91">
      <w:r>
        <w:tab/>
        <w:t>D. Deindustrialization</w:t>
      </w:r>
    </w:p>
    <w:p w:rsidR="00790C91" w:rsidRDefault="00790C91" w:rsidP="00790C91">
      <w:pPr>
        <w:ind w:left="1440"/>
      </w:pPr>
    </w:p>
    <w:p w:rsidR="00790C91" w:rsidRDefault="00CF460E" w:rsidP="00790C91">
      <w:pPr>
        <w:ind w:left="1440"/>
      </w:pPr>
      <w:r>
        <w:t>1</w:t>
      </w:r>
      <w:r w:rsidR="00790C91">
        <w:t>. downsizing</w:t>
      </w:r>
    </w:p>
    <w:p w:rsidR="00790C91" w:rsidRDefault="00790C91" w:rsidP="00790C91"/>
    <w:p w:rsidR="00790C91" w:rsidRDefault="00790C91" w:rsidP="00790C91">
      <w:r>
        <w:tab/>
      </w:r>
      <w:r>
        <w:tab/>
      </w:r>
      <w:r w:rsidR="00CF460E">
        <w:t>2</w:t>
      </w:r>
      <w:r>
        <w:t>. off shoring</w:t>
      </w:r>
    </w:p>
    <w:p w:rsidR="009C0D95" w:rsidRDefault="009C0D95" w:rsidP="00790C91"/>
    <w:p w:rsidR="009C0D95" w:rsidRDefault="009C0D95" w:rsidP="00790C91">
      <w:r>
        <w:lastRenderedPageBreak/>
        <w:tab/>
      </w:r>
      <w:r>
        <w:tab/>
      </w:r>
      <w:r>
        <w:tab/>
        <w:t>a. GE</w:t>
      </w:r>
    </w:p>
    <w:p w:rsidR="009C0D95" w:rsidRDefault="009C0D95" w:rsidP="00790C91"/>
    <w:p w:rsidR="009C0D95" w:rsidRDefault="009C0D95" w:rsidP="00790C91">
      <w:r>
        <w:tab/>
      </w:r>
      <w:r>
        <w:tab/>
      </w:r>
      <w:r>
        <w:tab/>
        <w:t>b. Wal-Mart</w:t>
      </w:r>
    </w:p>
    <w:p w:rsidR="00790C91" w:rsidRDefault="00790C91" w:rsidP="00790C91"/>
    <w:p w:rsidR="00790C91" w:rsidRDefault="00790C91" w:rsidP="00790C91">
      <w:r>
        <w:tab/>
      </w:r>
      <w:r>
        <w:tab/>
      </w:r>
      <w:r w:rsidR="00CF460E">
        <w:t>3</w:t>
      </w:r>
      <w:r>
        <w:t>. outsourcing</w:t>
      </w:r>
    </w:p>
    <w:p w:rsidR="00790C91" w:rsidRDefault="00790C91" w:rsidP="00790C91"/>
    <w:p w:rsidR="00790C91" w:rsidRDefault="00790C91" w:rsidP="00790C91">
      <w:r>
        <w:tab/>
      </w:r>
      <w:r>
        <w:tab/>
      </w:r>
      <w:r w:rsidR="00CF460E">
        <w:t>4</w:t>
      </w:r>
      <w:r>
        <w:t>. automation</w:t>
      </w:r>
    </w:p>
    <w:p w:rsidR="00790C91" w:rsidRDefault="00790C91" w:rsidP="00790C91">
      <w:pPr>
        <w:ind w:left="2160"/>
      </w:pPr>
    </w:p>
    <w:p w:rsidR="003C7323" w:rsidRDefault="003C7323" w:rsidP="003C7323">
      <w:pPr>
        <w:tabs>
          <w:tab w:val="left" w:pos="720"/>
        </w:tabs>
        <w:ind w:left="720"/>
      </w:pPr>
    </w:p>
    <w:p w:rsidR="00E14B0A" w:rsidRDefault="007160E8" w:rsidP="003C7323">
      <w:pPr>
        <w:ind w:left="720"/>
      </w:pPr>
      <w:r>
        <w:t>E</w:t>
      </w:r>
      <w:r w:rsidR="00E14B0A">
        <w:t xml:space="preserve">. </w:t>
      </w:r>
      <w:r w:rsidR="009C0D95">
        <w:t xml:space="preserve">Jobs: </w:t>
      </w:r>
      <w:r w:rsidR="00E14B0A">
        <w:t>Service-based</w:t>
      </w:r>
    </w:p>
    <w:p w:rsidR="00E14B0A" w:rsidRDefault="00E14B0A"/>
    <w:p w:rsidR="00A92530" w:rsidRDefault="003C7323">
      <w:r>
        <w:tab/>
      </w:r>
      <w:r>
        <w:tab/>
      </w:r>
      <w:r w:rsidR="009E0C10">
        <w:t>1</w:t>
      </w:r>
      <w:r w:rsidR="00E14B0A">
        <w:t xml:space="preserve">. </w:t>
      </w:r>
      <w:r w:rsidR="009046FD">
        <w:t>four out of five</w:t>
      </w:r>
      <w:r w:rsidR="00A92530">
        <w:t xml:space="preserve">: </w:t>
      </w:r>
      <w:proofErr w:type="spellStart"/>
      <w:r w:rsidR="00A92530">
        <w:t>McJobs</w:t>
      </w:r>
      <w:proofErr w:type="spellEnd"/>
      <w:r>
        <w:t xml:space="preserve"> (50% created since “recovery”</w:t>
      </w:r>
      <w:r w:rsidR="007160E8">
        <w:t>)</w:t>
      </w:r>
    </w:p>
    <w:p w:rsidR="00A92530" w:rsidRDefault="00A92530"/>
    <w:p w:rsidR="00A92530" w:rsidRDefault="003C7323">
      <w:r>
        <w:tab/>
      </w:r>
      <w:r>
        <w:tab/>
      </w:r>
      <w:r>
        <w:tab/>
      </w:r>
      <w:proofErr w:type="spellStart"/>
      <w:r w:rsidR="00A92530">
        <w:t>i</w:t>
      </w:r>
      <w:proofErr w:type="spellEnd"/>
      <w:r w:rsidR="00A92530">
        <w:t>. part-time</w:t>
      </w:r>
    </w:p>
    <w:p w:rsidR="00A92530" w:rsidRDefault="00A92530"/>
    <w:p w:rsidR="00A92530" w:rsidRDefault="003C7323">
      <w:r>
        <w:tab/>
      </w:r>
      <w:r>
        <w:tab/>
      </w:r>
      <w:r>
        <w:tab/>
      </w:r>
      <w:r w:rsidR="00A92530">
        <w:t>ii. low wage</w:t>
      </w:r>
    </w:p>
    <w:p w:rsidR="00A92530" w:rsidRDefault="00A92530">
      <w:r>
        <w:tab/>
      </w:r>
      <w:r>
        <w:tab/>
      </w:r>
    </w:p>
    <w:p w:rsidR="00A92530" w:rsidRDefault="003C7323">
      <w:r>
        <w:tab/>
      </w:r>
      <w:r>
        <w:tab/>
      </w:r>
      <w:r>
        <w:tab/>
      </w:r>
      <w:r w:rsidR="00A92530">
        <w:t>iii. no benefits/too expensive</w:t>
      </w:r>
    </w:p>
    <w:p w:rsidR="00A92530" w:rsidRDefault="00A92530"/>
    <w:p w:rsidR="00A92530" w:rsidRDefault="003C7323">
      <w:r>
        <w:tab/>
      </w:r>
      <w:r>
        <w:tab/>
      </w:r>
      <w:r>
        <w:tab/>
      </w:r>
      <w:r w:rsidR="00A92530">
        <w:t>iv. no advancement</w:t>
      </w:r>
    </w:p>
    <w:p w:rsidR="00A92530" w:rsidRDefault="00A92530"/>
    <w:p w:rsidR="00A92530" w:rsidRDefault="003C7323">
      <w:r>
        <w:tab/>
      </w:r>
      <w:r>
        <w:tab/>
      </w:r>
      <w:r>
        <w:tab/>
      </w:r>
      <w:r w:rsidR="00A92530">
        <w:t>v. easily replaceable</w:t>
      </w:r>
    </w:p>
    <w:p w:rsidR="00A64ADE" w:rsidRDefault="00A64ADE"/>
    <w:p w:rsidR="00A64ADE" w:rsidRDefault="003C7323">
      <w:r>
        <w:tab/>
      </w:r>
      <w:r>
        <w:tab/>
      </w:r>
      <w:r>
        <w:tab/>
      </w:r>
      <w:r w:rsidR="00A64ADE">
        <w:t>vi. alienating</w:t>
      </w:r>
    </w:p>
    <w:p w:rsidR="00A64ADE" w:rsidRDefault="00A64ADE"/>
    <w:p w:rsidR="00A64ADE" w:rsidRDefault="003C7323">
      <w:r>
        <w:tab/>
      </w:r>
      <w:r>
        <w:tab/>
      </w:r>
      <w:r>
        <w:tab/>
      </w:r>
      <w:r w:rsidR="00A64ADE">
        <w:t>vii. emotional labor</w:t>
      </w:r>
    </w:p>
    <w:p w:rsidR="00A92530" w:rsidRDefault="00A92530">
      <w:r>
        <w:tab/>
      </w:r>
      <w:r>
        <w:tab/>
      </w:r>
    </w:p>
    <w:p w:rsidR="00A92530" w:rsidRDefault="003C7323">
      <w:r>
        <w:tab/>
      </w:r>
      <w:r>
        <w:tab/>
      </w:r>
      <w:r w:rsidR="00CF460E">
        <w:t>2</w:t>
      </w:r>
      <w:r w:rsidR="00A92530">
        <w:t>. Temps</w:t>
      </w:r>
      <w:r w:rsidR="006C31B8">
        <w:t>/contingent employment</w:t>
      </w:r>
    </w:p>
    <w:p w:rsidR="00A92530" w:rsidRDefault="00A92530"/>
    <w:p w:rsidR="00A92530" w:rsidRDefault="003C7323">
      <w:r>
        <w:tab/>
      </w:r>
      <w:r>
        <w:tab/>
      </w:r>
      <w:r>
        <w:tab/>
      </w:r>
      <w:proofErr w:type="spellStart"/>
      <w:r w:rsidR="00A92530">
        <w:t>i</w:t>
      </w:r>
      <w:proofErr w:type="spellEnd"/>
      <w:r w:rsidR="00A92530">
        <w:t>. +400 per cent since 1980s</w:t>
      </w:r>
    </w:p>
    <w:p w:rsidR="00A92530" w:rsidRDefault="00A92530"/>
    <w:p w:rsidR="003C7323" w:rsidRDefault="003C7323" w:rsidP="003C7323">
      <w:r>
        <w:tab/>
      </w:r>
      <w:r>
        <w:tab/>
      </w:r>
      <w:r>
        <w:tab/>
      </w:r>
      <w:r w:rsidR="00A92530">
        <w:t xml:space="preserve">ii. </w:t>
      </w:r>
      <w:r w:rsidR="00A64ADE">
        <w:t>40% less per hour</w:t>
      </w:r>
    </w:p>
    <w:p w:rsidR="007160E8" w:rsidRDefault="007160E8" w:rsidP="003C7323"/>
    <w:p w:rsidR="007160E8" w:rsidRDefault="007160E8" w:rsidP="003C7323">
      <w:r>
        <w:tab/>
      </w:r>
      <w:r>
        <w:tab/>
      </w:r>
      <w:r w:rsidR="00CF460E">
        <w:t>3</w:t>
      </w:r>
      <w:r>
        <w:t>. Internships</w:t>
      </w:r>
    </w:p>
    <w:p w:rsidR="007160E8" w:rsidRDefault="007160E8" w:rsidP="003C7323"/>
    <w:p w:rsidR="007160E8" w:rsidRDefault="007160E8" w:rsidP="003C7323">
      <w:r>
        <w:tab/>
      </w:r>
      <w:r>
        <w:tab/>
      </w:r>
      <w:r>
        <w:tab/>
      </w:r>
      <w:proofErr w:type="spellStart"/>
      <w:r>
        <w:t>i</w:t>
      </w:r>
      <w:proofErr w:type="spellEnd"/>
      <w:r>
        <w:t>. unpaid or low income</w:t>
      </w:r>
    </w:p>
    <w:p w:rsidR="007160E8" w:rsidRDefault="007160E8" w:rsidP="003C7323"/>
    <w:p w:rsidR="007160E8" w:rsidRDefault="007160E8" w:rsidP="003C7323">
      <w:r>
        <w:tab/>
      </w:r>
      <w:r>
        <w:tab/>
      </w:r>
      <w:r>
        <w:tab/>
        <w:t>ii. no guarantee of job</w:t>
      </w:r>
    </w:p>
    <w:p w:rsidR="003C7323" w:rsidRDefault="003C7323" w:rsidP="003C7323"/>
    <w:p w:rsidR="00A92530" w:rsidRDefault="003C7323" w:rsidP="003C7323">
      <w:r>
        <w:tab/>
      </w:r>
      <w:r w:rsidR="007160E8">
        <w:t>F</w:t>
      </w:r>
      <w:r w:rsidR="00A92530">
        <w:t>. Example: San Diego</w:t>
      </w:r>
    </w:p>
    <w:p w:rsidR="00A92530" w:rsidRDefault="00A92530"/>
    <w:p w:rsidR="00A92530" w:rsidRDefault="003C7323">
      <w:r>
        <w:tab/>
      </w:r>
      <w:r>
        <w:tab/>
      </w:r>
      <w:r w:rsidR="00CF460E">
        <w:t>1</w:t>
      </w:r>
      <w:r w:rsidR="00A92530">
        <w:t>. 61% since 2001 less than $25,000</w:t>
      </w:r>
    </w:p>
    <w:p w:rsidR="00A92530" w:rsidRDefault="00A92530"/>
    <w:p w:rsidR="003C7323" w:rsidRDefault="003C7323" w:rsidP="003C7323">
      <w:r>
        <w:tab/>
      </w:r>
      <w:r>
        <w:tab/>
      </w:r>
      <w:r w:rsidR="00CF460E">
        <w:t>2</w:t>
      </w:r>
      <w:r w:rsidR="00A92530">
        <w:t>. mainly in service sector</w:t>
      </w:r>
    </w:p>
    <w:p w:rsidR="003C7323" w:rsidRDefault="003C7323" w:rsidP="003C7323"/>
    <w:p w:rsidR="003C7323" w:rsidRDefault="003C7323" w:rsidP="003C7323">
      <w:r>
        <w:tab/>
      </w:r>
      <w:r>
        <w:tab/>
      </w:r>
      <w:r w:rsidR="00CF460E">
        <w:t>3</w:t>
      </w:r>
      <w:r w:rsidR="00214C02">
        <w:t xml:space="preserve">. </w:t>
      </w:r>
      <w:r w:rsidR="00214C02">
        <w:rPr>
          <w:sz w:val="22"/>
          <w:szCs w:val="22"/>
        </w:rPr>
        <w:t xml:space="preserve">On average, all households lost $2,337 in purchasing power from 2010 to </w:t>
      </w:r>
      <w:r w:rsidR="00CF460E">
        <w:rPr>
          <w:sz w:val="22"/>
          <w:szCs w:val="22"/>
        </w:rPr>
        <w:tab/>
      </w:r>
      <w:r w:rsidR="00CF460E">
        <w:rPr>
          <w:sz w:val="22"/>
          <w:szCs w:val="22"/>
        </w:rPr>
        <w:tab/>
      </w:r>
      <w:r w:rsidR="00CF460E">
        <w:rPr>
          <w:sz w:val="22"/>
          <w:szCs w:val="22"/>
        </w:rPr>
        <w:tab/>
      </w:r>
      <w:r w:rsidR="00214C02">
        <w:rPr>
          <w:sz w:val="22"/>
          <w:szCs w:val="22"/>
        </w:rPr>
        <w:t>2011</w:t>
      </w:r>
    </w:p>
    <w:p w:rsidR="003C7323" w:rsidRDefault="003C7323" w:rsidP="003C7323"/>
    <w:p w:rsidR="00A92530" w:rsidRDefault="003C7323" w:rsidP="007160E8">
      <w:pPr>
        <w:rPr>
          <w:sz w:val="22"/>
          <w:szCs w:val="22"/>
        </w:rPr>
      </w:pPr>
      <w:r>
        <w:tab/>
      </w:r>
      <w:r>
        <w:tab/>
      </w:r>
      <w:r w:rsidR="00214C02">
        <w:rPr>
          <w:sz w:val="22"/>
          <w:szCs w:val="22"/>
        </w:rPr>
        <w:t>d. 136,000+ working full-time but w/o health care</w:t>
      </w:r>
    </w:p>
    <w:p w:rsidR="00665094" w:rsidRDefault="00665094" w:rsidP="007160E8">
      <w:pPr>
        <w:rPr>
          <w:sz w:val="22"/>
          <w:szCs w:val="22"/>
        </w:rPr>
      </w:pPr>
    </w:p>
    <w:p w:rsidR="006C31B8" w:rsidRPr="00B042B5" w:rsidRDefault="00B042B5" w:rsidP="006C31B8">
      <w:pPr>
        <w:rPr>
          <w:sz w:val="22"/>
          <w:szCs w:val="22"/>
        </w:rPr>
      </w:pPr>
      <w:r>
        <w:rPr>
          <w:sz w:val="22"/>
          <w:szCs w:val="22"/>
        </w:rPr>
        <w:tab/>
        <w:t>G. McDonalds Budget</w:t>
      </w:r>
    </w:p>
    <w:p w:rsidR="009C0D95" w:rsidRDefault="009C0D95" w:rsidP="007C5270">
      <w:pPr>
        <w:ind w:left="720"/>
      </w:pPr>
    </w:p>
    <w:p w:rsidR="007C5270" w:rsidRDefault="00B042B5" w:rsidP="007C5270">
      <w:pPr>
        <w:ind w:left="720"/>
      </w:pPr>
      <w:r>
        <w:t>H</w:t>
      </w:r>
      <w:r w:rsidR="007C5270">
        <w:t xml:space="preserve">. </w:t>
      </w:r>
      <w:r w:rsidR="0081287F">
        <w:t xml:space="preserve">Monopoly Capitalism and </w:t>
      </w:r>
      <w:r w:rsidR="007C5270">
        <w:t>Corporate Profits</w:t>
      </w:r>
    </w:p>
    <w:p w:rsidR="007C5270" w:rsidRDefault="007C5270" w:rsidP="007C5270"/>
    <w:p w:rsidR="007C5270" w:rsidRDefault="007C5270" w:rsidP="007C5270">
      <w:r>
        <w:tab/>
      </w:r>
      <w:r>
        <w:tab/>
        <w:t>1. 2001 $503 billion 2008 $1.35 trillion</w:t>
      </w:r>
    </w:p>
    <w:p w:rsidR="007C5270" w:rsidRDefault="007C5270" w:rsidP="007C5270"/>
    <w:p w:rsidR="007C5270" w:rsidRDefault="007C5270" w:rsidP="007C5270">
      <w:r>
        <w:tab/>
      </w:r>
      <w:r>
        <w:tab/>
        <w:t>2. ALL TIME RECORD 2010 $1.68 TRILLION</w:t>
      </w:r>
    </w:p>
    <w:p w:rsidR="007C5270" w:rsidRDefault="007C5270" w:rsidP="007C5270"/>
    <w:p w:rsidR="007C5270" w:rsidRDefault="007C5270" w:rsidP="007C5270">
      <w:pPr>
        <w:ind w:left="1440"/>
      </w:pPr>
      <w:r>
        <w:t>3. Cash on hand $2 trillion (largest in over fifty years)</w:t>
      </w:r>
    </w:p>
    <w:p w:rsidR="007C5270" w:rsidRDefault="007C5270" w:rsidP="007C5270"/>
    <w:p w:rsidR="007C5270" w:rsidRDefault="007C5270" w:rsidP="007C5270">
      <w:pPr>
        <w:ind w:left="720" w:firstLine="720"/>
      </w:pPr>
      <w:r>
        <w:t>4. Fortune 500 20</w:t>
      </w:r>
      <w:r w:rsidR="0081287F">
        <w:t>11 all time record $824 billion</w:t>
      </w:r>
    </w:p>
    <w:p w:rsidR="007C5270" w:rsidRDefault="007C5270" w:rsidP="007C5270"/>
    <w:p w:rsidR="007C5270" w:rsidRDefault="007C5270" w:rsidP="007C5270">
      <w:r>
        <w:tab/>
      </w:r>
      <w:r>
        <w:tab/>
        <w:t>5. Taxes</w:t>
      </w:r>
    </w:p>
    <w:p w:rsidR="007C5270" w:rsidRDefault="007C5270" w:rsidP="007C5270">
      <w:r>
        <w:tab/>
      </w:r>
    </w:p>
    <w:p w:rsidR="007C5270" w:rsidRDefault="0081287F" w:rsidP="007C5270">
      <w:pPr>
        <w:ind w:left="2160"/>
      </w:pPr>
      <w:r>
        <w:t>a.</w:t>
      </w:r>
      <w:r w:rsidR="007C5270">
        <w:t xml:space="preserve"> 60 % of companies pay no taxes</w:t>
      </w:r>
    </w:p>
    <w:p w:rsidR="007C5270" w:rsidRDefault="007C5270" w:rsidP="007C5270"/>
    <w:p w:rsidR="007C5270" w:rsidRDefault="007C5270" w:rsidP="007C5270">
      <w:pPr>
        <w:ind w:left="2160"/>
      </w:pPr>
      <w:r>
        <w:t>b. Corp contribution to federal tax rev</w:t>
      </w:r>
      <w:r w:rsidR="0081287F">
        <w:t>enue: 1950/30% to 2010 8%</w:t>
      </w:r>
    </w:p>
    <w:p w:rsidR="007C5270" w:rsidRDefault="007C5270" w:rsidP="007C5270">
      <w:pPr>
        <w:ind w:left="2160"/>
      </w:pPr>
    </w:p>
    <w:p w:rsidR="007C5270" w:rsidRDefault="007B7855" w:rsidP="007C5270">
      <w:pPr>
        <w:ind w:left="2160"/>
      </w:pPr>
      <w:r>
        <w:t>c.</w:t>
      </w:r>
      <w:r w:rsidR="007C5270">
        <w:t xml:space="preserve"> GE $14.2 billion, $1.1 billion tax benefit</w:t>
      </w:r>
    </w:p>
    <w:p w:rsidR="007C5270" w:rsidRDefault="007C5270" w:rsidP="007C5270">
      <w:pPr>
        <w:ind w:left="2160"/>
      </w:pPr>
    </w:p>
    <w:p w:rsidR="007B7855" w:rsidRDefault="007C5270" w:rsidP="007C5270">
      <w:pPr>
        <w:ind w:left="2160"/>
      </w:pPr>
      <w:r>
        <w:t xml:space="preserve">d. </w:t>
      </w:r>
      <w:r w:rsidR="007B7855">
        <w:t xml:space="preserve">2008-2010 12 </w:t>
      </w:r>
      <w:proofErr w:type="spellStart"/>
      <w:r w:rsidR="007B7855">
        <w:t>lgst</w:t>
      </w:r>
      <w:proofErr w:type="spellEnd"/>
      <w:r w:rsidR="007B7855">
        <w:t xml:space="preserve"> corps +$170 billion -1.5% tax rate</w:t>
      </w:r>
    </w:p>
    <w:p w:rsidR="007B7855" w:rsidRDefault="007B7855" w:rsidP="007C5270">
      <w:pPr>
        <w:ind w:left="2160"/>
      </w:pPr>
    </w:p>
    <w:p w:rsidR="007C5270" w:rsidRDefault="007B7855" w:rsidP="007C5270">
      <w:pPr>
        <w:ind w:left="2160"/>
      </w:pPr>
      <w:r>
        <w:t xml:space="preserve">e. </w:t>
      </w:r>
      <w:r w:rsidR="007C5270">
        <w:t>Deficit C</w:t>
      </w:r>
      <w:r w:rsidR="0081287F">
        <w:t>ommission</w:t>
      </w:r>
      <w:r w:rsidR="009C0D95">
        <w:t xml:space="preserve"> recommendation</w:t>
      </w:r>
      <w:r w:rsidR="0081287F">
        <w:t xml:space="preserve">: cut corporate taxes </w:t>
      </w:r>
    </w:p>
    <w:p w:rsidR="007C5270" w:rsidRDefault="007C5270" w:rsidP="007C5270">
      <w:pPr>
        <w:ind w:left="2160"/>
      </w:pPr>
    </w:p>
    <w:p w:rsidR="006C31B8" w:rsidRDefault="00B042B5" w:rsidP="00645C4B">
      <w:pPr>
        <w:ind w:firstLine="720"/>
      </w:pPr>
      <w:r>
        <w:t>I</w:t>
      </w:r>
      <w:r w:rsidR="006C31B8">
        <w:t xml:space="preserve">. </w:t>
      </w:r>
      <w:r w:rsidR="007160E8">
        <w:t xml:space="preserve">Monopoly Capitalism and deindustrialization are structural reasons for </w:t>
      </w:r>
      <w:r w:rsidR="007160E8">
        <w:tab/>
        <w:t>increasing inequality</w:t>
      </w:r>
    </w:p>
    <w:p w:rsidR="00041305" w:rsidRDefault="00041305" w:rsidP="00645C4B">
      <w:pPr>
        <w:ind w:firstLine="720"/>
      </w:pPr>
    </w:p>
    <w:p w:rsidR="00E64D41" w:rsidRDefault="00F93DAD" w:rsidP="00E64D41">
      <w:r>
        <w:tab/>
      </w:r>
    </w:p>
    <w:p w:rsidR="00E64D41" w:rsidRDefault="00B042B5" w:rsidP="00E64D41">
      <w:r>
        <w:tab/>
        <w:t>J</w:t>
      </w:r>
      <w:r w:rsidR="00E64D41">
        <w:t>. Great Recession</w:t>
      </w:r>
    </w:p>
    <w:p w:rsidR="00E64D41" w:rsidRDefault="00E64D41" w:rsidP="00E64D41">
      <w:pPr>
        <w:ind w:left="1440"/>
      </w:pPr>
    </w:p>
    <w:p w:rsidR="00E64D41" w:rsidRDefault="00E64D41" w:rsidP="00D739D4">
      <w:pPr>
        <w:numPr>
          <w:ilvl w:val="0"/>
          <w:numId w:val="12"/>
        </w:numPr>
      </w:pPr>
      <w:r>
        <w:t>Jobs lost (21% low income) and gained (58% low income)</w:t>
      </w:r>
    </w:p>
    <w:p w:rsidR="00D739D4" w:rsidRPr="009E0C10" w:rsidRDefault="00D739D4" w:rsidP="00074865">
      <w:pPr>
        <w:pStyle w:val="NormalWeb"/>
        <w:ind w:left="720" w:firstLine="720"/>
        <w:rPr>
          <w:color w:val="333333"/>
        </w:rPr>
      </w:pPr>
      <w:r w:rsidRPr="009E0C10">
        <w:t xml:space="preserve">2. </w:t>
      </w:r>
      <w:r w:rsidRPr="009E0C10">
        <w:rPr>
          <w:color w:val="333333"/>
        </w:rPr>
        <w:t>Construction is the sector with the most unemployed workers for every available job, while manufacturing has the second-most number of unemployed workers for every available job, belying recent claims of worker shortages in construction and manufacturing. The education and health services sector has the most favorable ratio of unemployed to job openings, but even it has over 80 percent more unemployed workers than job openings. These data show that the main problem in today’s labor market is not a lack of the right workers for the jobs that are available; it’s that employers do not have enough work to be done to need to hire more workers.</w:t>
      </w:r>
    </w:p>
    <w:p w:rsidR="00D739D4" w:rsidRPr="00D739D4" w:rsidRDefault="00D739D4" w:rsidP="00D739D4">
      <w:pPr>
        <w:rPr>
          <w:rFonts w:ascii="Times New Roman" w:eastAsia="Times New Roman" w:hAnsi="Times New Roman"/>
          <w:color w:val="333333"/>
          <w:sz w:val="21"/>
          <w:szCs w:val="21"/>
        </w:rPr>
      </w:pPr>
      <w:hyperlink r:id="rId7" w:history="1">
        <w:r w:rsidRPr="00D739D4">
          <w:rPr>
            <w:rFonts w:ascii="Times New Roman" w:eastAsia="Times New Roman" w:hAnsi="Times New Roman"/>
            <w:color w:val="800030"/>
            <w:sz w:val="21"/>
            <w:szCs w:val="21"/>
          </w:rPr>
          <w:fldChar w:fldCharType="begin"/>
        </w:r>
        <w:r w:rsidRPr="00D739D4">
          <w:rPr>
            <w:rFonts w:ascii="Times New Roman" w:eastAsia="Times New Roman" w:hAnsi="Times New Roman"/>
            <w:color w:val="800030"/>
            <w:sz w:val="21"/>
            <w:szCs w:val="21"/>
          </w:rPr>
          <w:instrText xml:space="preserve"> INCLUDEPICTURE "http://www.epi.org/files/2013/snapshot-unemplyment-by-industry.png.608" \* MERGEFORMATINET </w:instrText>
        </w:r>
        <w:r w:rsidRPr="00D739D4">
          <w:rPr>
            <w:rFonts w:ascii="Times New Roman" w:eastAsia="Times New Roman" w:hAnsi="Times New Roman"/>
            <w:color w:val="800030"/>
            <w:sz w:val="21"/>
            <w:szCs w:val="21"/>
          </w:rPr>
          <w:fldChar w:fldCharType="separate"/>
        </w:r>
        <w:r w:rsidRPr="00D739D4">
          <w:rPr>
            <w:rFonts w:ascii="Times New Roman" w:eastAsia="Times New Roman" w:hAnsi="Times New Roman"/>
            <w:color w:val="80003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www.epi.org/files/2013/snapshot-unemplyment-by-industry.png" style="width:456pt;height:416.4pt" o:button="t">
              <v:imagedata r:id="rId8" r:href="rId9"/>
            </v:shape>
          </w:pict>
        </w:r>
        <w:r w:rsidRPr="00D739D4">
          <w:rPr>
            <w:rFonts w:ascii="Times New Roman" w:eastAsia="Times New Roman" w:hAnsi="Times New Roman"/>
            <w:color w:val="800030"/>
            <w:sz w:val="21"/>
            <w:szCs w:val="21"/>
          </w:rPr>
          <w:fldChar w:fldCharType="end"/>
        </w:r>
      </w:hyperlink>
    </w:p>
    <w:p w:rsidR="00D739D4" w:rsidRDefault="00D739D4" w:rsidP="00D739D4">
      <w:pPr>
        <w:ind w:left="1440"/>
      </w:pPr>
    </w:p>
    <w:p w:rsidR="00E64D41" w:rsidRDefault="00E64D41" w:rsidP="00E64D41">
      <w:pPr>
        <w:ind w:left="1440"/>
      </w:pPr>
    </w:p>
    <w:p w:rsidR="00E64D41" w:rsidRDefault="00E64D41" w:rsidP="00E64D41">
      <w:pPr>
        <w:ind w:left="1440"/>
      </w:pPr>
    </w:p>
    <w:p w:rsidR="00E64D41" w:rsidRDefault="00E64D41" w:rsidP="00E64D41">
      <w:pPr>
        <w:ind w:left="1440"/>
      </w:pPr>
    </w:p>
    <w:p w:rsidR="00E64D41" w:rsidRDefault="00E64D41" w:rsidP="00E64D41">
      <w:pPr>
        <w:ind w:left="1440"/>
      </w:pPr>
    </w:p>
    <w:p w:rsidR="00E64D41" w:rsidRDefault="00E64D41" w:rsidP="00E64D41">
      <w:pPr>
        <w:ind w:left="1440"/>
      </w:pPr>
    </w:p>
    <w:p w:rsidR="00E64D41" w:rsidRDefault="00E64D41" w:rsidP="00E64D41">
      <w:pPr>
        <w:ind w:left="1440"/>
      </w:pPr>
    </w:p>
    <w:p w:rsidR="00E64D41" w:rsidRDefault="00E64D41" w:rsidP="00E64D41">
      <w:pPr>
        <w:ind w:left="1440"/>
      </w:pPr>
    </w:p>
    <w:p w:rsidR="00E64D41" w:rsidRDefault="00E64D41" w:rsidP="00E64D41">
      <w:pPr>
        <w:ind w:left="1440"/>
      </w:pPr>
    </w:p>
    <w:p w:rsidR="00E64D41" w:rsidRDefault="00E64D41" w:rsidP="00E64D41">
      <w:pPr>
        <w:ind w:left="1440"/>
      </w:pPr>
    </w:p>
    <w:p w:rsidR="00E64D41" w:rsidRDefault="00E64D41" w:rsidP="00E64D41">
      <w:pPr>
        <w:ind w:left="1440"/>
      </w:pPr>
    </w:p>
    <w:p w:rsidR="00E64D41" w:rsidRDefault="00E64D41" w:rsidP="00E64D41">
      <w:pPr>
        <w:ind w:left="1440"/>
      </w:pPr>
    </w:p>
    <w:p w:rsidR="00E64D41" w:rsidRDefault="00E64D41" w:rsidP="00E64D41">
      <w:pPr>
        <w:ind w:left="1440"/>
      </w:pPr>
    </w:p>
    <w:p w:rsidR="00E64D41" w:rsidRDefault="00E64D41" w:rsidP="00E64D41">
      <w:pPr>
        <w:ind w:left="1440"/>
      </w:pPr>
    </w:p>
    <w:p w:rsidR="00E64D41" w:rsidRDefault="00E64D41" w:rsidP="00E64D41">
      <w:pPr>
        <w:ind w:left="1440"/>
      </w:pPr>
    </w:p>
    <w:p w:rsidR="007160E8" w:rsidRDefault="007160E8" w:rsidP="007160E8">
      <w:pPr>
        <w:tabs>
          <w:tab w:val="left" w:pos="720"/>
        </w:tabs>
        <w:ind w:left="720"/>
      </w:pPr>
      <w:r>
        <w:t xml:space="preserve">J.  </w:t>
      </w:r>
      <w:r w:rsidRPr="007160E8">
        <w:rPr>
          <w:i/>
          <w:szCs w:val="24"/>
        </w:rPr>
        <w:t>Laissez faire</w:t>
      </w:r>
      <w:r>
        <w:t xml:space="preserve"> and “Wealthfare” Capitalism</w:t>
      </w:r>
    </w:p>
    <w:p w:rsidR="007160E8" w:rsidRDefault="007160E8" w:rsidP="007160E8">
      <w:pPr>
        <w:ind w:left="720" w:firstLine="720"/>
      </w:pPr>
    </w:p>
    <w:p w:rsidR="007160E8" w:rsidRDefault="007160E8" w:rsidP="007160E8">
      <w:pPr>
        <w:ind w:left="720" w:firstLine="720"/>
      </w:pPr>
      <w:r>
        <w:t>1. $1 trillion (not country $20 trillion to save “Wall Street”)</w:t>
      </w:r>
    </w:p>
    <w:p w:rsidR="007160E8" w:rsidRDefault="007160E8" w:rsidP="007160E8">
      <w:pPr>
        <w:ind w:left="720" w:firstLine="720"/>
      </w:pPr>
    </w:p>
    <w:p w:rsidR="007160E8" w:rsidRDefault="007160E8" w:rsidP="007160E8">
      <w:r>
        <w:tab/>
      </w:r>
      <w:r>
        <w:tab/>
        <w:t>2. R and D</w:t>
      </w:r>
    </w:p>
    <w:p w:rsidR="007160E8" w:rsidRDefault="007160E8" w:rsidP="007160E8"/>
    <w:p w:rsidR="007160E8" w:rsidRDefault="007160E8" w:rsidP="007160E8">
      <w:r>
        <w:tab/>
      </w:r>
      <w:r>
        <w:tab/>
      </w:r>
      <w:r>
        <w:tab/>
        <w:t xml:space="preserve">a. $72 billion </w:t>
      </w:r>
    </w:p>
    <w:p w:rsidR="007160E8" w:rsidRDefault="007160E8" w:rsidP="007160E8"/>
    <w:p w:rsidR="007160E8" w:rsidRDefault="007160E8" w:rsidP="007160E8">
      <w:r>
        <w:tab/>
      </w:r>
      <w:r>
        <w:tab/>
      </w:r>
      <w:r>
        <w:tab/>
        <w:t xml:space="preserve">b. </w:t>
      </w:r>
      <w:proofErr w:type="spellStart"/>
      <w:r>
        <w:t>Taxol</w:t>
      </w:r>
      <w:proofErr w:type="spellEnd"/>
    </w:p>
    <w:p w:rsidR="007160E8" w:rsidRDefault="007160E8" w:rsidP="007160E8"/>
    <w:p w:rsidR="007160E8" w:rsidRDefault="007160E8" w:rsidP="007160E8">
      <w:r>
        <w:tab/>
      </w:r>
      <w:r>
        <w:tab/>
      </w:r>
      <w:r>
        <w:tab/>
        <w:t>c. “clean coal”</w:t>
      </w:r>
    </w:p>
    <w:p w:rsidR="007160E8" w:rsidRDefault="007160E8" w:rsidP="007160E8">
      <w:r>
        <w:tab/>
      </w:r>
    </w:p>
    <w:p w:rsidR="007160E8" w:rsidRDefault="007160E8" w:rsidP="007160E8">
      <w:r>
        <w:tab/>
      </w:r>
      <w:r>
        <w:tab/>
        <w:t>3. Tax breaks, loopholes, havens</w:t>
      </w:r>
    </w:p>
    <w:p w:rsidR="007160E8" w:rsidRDefault="007160E8" w:rsidP="007160E8"/>
    <w:p w:rsidR="007160E8" w:rsidRDefault="007160E8" w:rsidP="007160E8">
      <w:r>
        <w:tab/>
      </w:r>
      <w:r>
        <w:tab/>
      </w:r>
      <w:r>
        <w:tab/>
        <w:t>a. Cruise lines</w:t>
      </w:r>
    </w:p>
    <w:p w:rsidR="007160E8" w:rsidRDefault="007160E8" w:rsidP="007160E8"/>
    <w:p w:rsidR="007160E8" w:rsidRDefault="007160E8" w:rsidP="007160E8">
      <w:r>
        <w:tab/>
      </w:r>
      <w:r>
        <w:tab/>
      </w:r>
      <w:r>
        <w:tab/>
        <w:t>b. GE 14.2 billion profit, 1.1 billion tax benefit</w:t>
      </w:r>
    </w:p>
    <w:p w:rsidR="007160E8" w:rsidRDefault="007160E8" w:rsidP="007160E8"/>
    <w:p w:rsidR="007160E8" w:rsidRDefault="007160E8" w:rsidP="007160E8">
      <w:r>
        <w:tab/>
      </w:r>
      <w:r>
        <w:tab/>
      </w:r>
      <w:r>
        <w:tab/>
        <w:t>c. Work opportunity tax credit</w:t>
      </w:r>
    </w:p>
    <w:p w:rsidR="007160E8" w:rsidRDefault="007160E8" w:rsidP="007160E8"/>
    <w:p w:rsidR="007160E8" w:rsidRDefault="007160E8" w:rsidP="007160E8">
      <w:r>
        <w:tab/>
      </w:r>
      <w:r>
        <w:tab/>
        <w:t xml:space="preserve">4. </w:t>
      </w:r>
      <w:r w:rsidR="00CF460E">
        <w:t xml:space="preserve">subsidies: </w:t>
      </w:r>
      <w:r>
        <w:t>agriculture, nuclear industry</w:t>
      </w:r>
    </w:p>
    <w:p w:rsidR="007160E8" w:rsidRDefault="007160E8" w:rsidP="007160E8"/>
    <w:p w:rsidR="007160E8" w:rsidRDefault="007160E8" w:rsidP="007160E8">
      <w:r>
        <w:tab/>
      </w:r>
      <w:r>
        <w:tab/>
        <w:t>5. environmental and social costs to people</w:t>
      </w:r>
    </w:p>
    <w:p w:rsidR="007160E8" w:rsidRDefault="007160E8" w:rsidP="007160E8"/>
    <w:p w:rsidR="007160E8" w:rsidRDefault="007160E8" w:rsidP="007160E8">
      <w:r>
        <w:tab/>
      </w:r>
      <w:r>
        <w:tab/>
        <w:t>6. bailouts</w:t>
      </w:r>
      <w:r w:rsidR="00CF460E">
        <w:t>:</w:t>
      </w:r>
      <w:r>
        <w:t xml:space="preserve"> “too big too fail”</w:t>
      </w:r>
    </w:p>
    <w:p w:rsidR="007160E8" w:rsidRDefault="007160E8" w:rsidP="007160E8">
      <w:r>
        <w:tab/>
      </w:r>
      <w:r>
        <w:tab/>
      </w:r>
    </w:p>
    <w:p w:rsidR="00E64D41" w:rsidRDefault="00CF460E" w:rsidP="00CF460E">
      <w:pPr>
        <w:numPr>
          <w:ilvl w:val="0"/>
          <w:numId w:val="15"/>
        </w:numPr>
      </w:pPr>
      <w:r>
        <w:t>weapons and intelligence industries</w:t>
      </w:r>
    </w:p>
    <w:p w:rsidR="00CF460E" w:rsidRDefault="00CF460E" w:rsidP="00CF460E"/>
    <w:p w:rsidR="00CF460E" w:rsidRDefault="00CF460E" w:rsidP="00CF460E">
      <w:r>
        <w:tab/>
      </w:r>
      <w:r>
        <w:tab/>
        <w:t xml:space="preserve">8. physical, financial, civil and military </w:t>
      </w:r>
      <w:proofErr w:type="spellStart"/>
      <w:r>
        <w:t>infrastructruer</w:t>
      </w:r>
      <w:proofErr w:type="spellEnd"/>
    </w:p>
    <w:p w:rsidR="006C31B8" w:rsidRDefault="006C31B8" w:rsidP="006C31B8">
      <w:pPr>
        <w:ind w:left="720"/>
      </w:pPr>
    </w:p>
    <w:p w:rsidR="00645C4B" w:rsidRDefault="00645C4B"/>
    <w:sectPr w:rsidR="00645C4B">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C0D95" w:rsidRDefault="009C0D95">
      <w:r>
        <w:separator/>
      </w:r>
    </w:p>
  </w:endnote>
  <w:endnote w:type="continuationSeparator" w:id="0">
    <w:p w:rsidR="009C0D95" w:rsidRDefault="009C0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C0D95" w:rsidRDefault="009C0D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rsidR="009C0D95" w:rsidRDefault="009C0D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C0D95" w:rsidRDefault="009C0D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42B5">
      <w:rPr>
        <w:rStyle w:val="PageNumber"/>
        <w:noProof/>
      </w:rPr>
      <w:t>1</w:t>
    </w:r>
    <w:r>
      <w:rPr>
        <w:rStyle w:val="PageNumber"/>
      </w:rPr>
      <w:fldChar w:fldCharType="end"/>
    </w:r>
  </w:p>
  <w:p w:rsidR="009C0D95" w:rsidRDefault="009C0D9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C0D95" w:rsidRDefault="009C0D95">
      <w:r>
        <w:separator/>
      </w:r>
    </w:p>
  </w:footnote>
  <w:footnote w:type="continuationSeparator" w:id="0">
    <w:p w:rsidR="009C0D95" w:rsidRDefault="009C0D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9071E"/>
    <w:multiLevelType w:val="hybridMultilevel"/>
    <w:tmpl w:val="F49CC94C"/>
    <w:lvl w:ilvl="0" w:tplc="EFC4E5FE">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10A41EFA"/>
    <w:multiLevelType w:val="hybridMultilevel"/>
    <w:tmpl w:val="6504D30E"/>
    <w:lvl w:ilvl="0" w:tplc="322881DC">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14FF41EB"/>
    <w:multiLevelType w:val="hybridMultilevel"/>
    <w:tmpl w:val="2B166D5E"/>
    <w:lvl w:ilvl="0" w:tplc="6CC2C99E">
      <w:start w:val="3"/>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166313FA"/>
    <w:multiLevelType w:val="hybridMultilevel"/>
    <w:tmpl w:val="8EF6DC36"/>
    <w:lvl w:ilvl="0" w:tplc="3E9A0DC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165F23"/>
    <w:multiLevelType w:val="hybridMultilevel"/>
    <w:tmpl w:val="F6CC9218"/>
    <w:lvl w:ilvl="0" w:tplc="5348791E">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15:restartNumberingAfterBreak="0">
    <w:nsid w:val="2A9854B5"/>
    <w:multiLevelType w:val="hybridMultilevel"/>
    <w:tmpl w:val="B9C088F2"/>
    <w:lvl w:ilvl="0" w:tplc="E2823048">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2FE92F0C"/>
    <w:multiLevelType w:val="hybridMultilevel"/>
    <w:tmpl w:val="5F84BF24"/>
    <w:lvl w:ilvl="0" w:tplc="96245EE8">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349C0750"/>
    <w:multiLevelType w:val="hybridMultilevel"/>
    <w:tmpl w:val="74E4E9C8"/>
    <w:lvl w:ilvl="0" w:tplc="45FE76AC">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8" w15:restartNumberingAfterBreak="0">
    <w:nsid w:val="4038688B"/>
    <w:multiLevelType w:val="hybridMultilevel"/>
    <w:tmpl w:val="FBA6A2DA"/>
    <w:lvl w:ilvl="0" w:tplc="140C772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15:restartNumberingAfterBreak="0">
    <w:nsid w:val="4EF43EB7"/>
    <w:multiLevelType w:val="hybridMultilevel"/>
    <w:tmpl w:val="97DC4CF0"/>
    <w:lvl w:ilvl="0" w:tplc="85686BEC">
      <w:start w:val="7"/>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553A57C8"/>
    <w:multiLevelType w:val="hybridMultilevel"/>
    <w:tmpl w:val="4C0845AA"/>
    <w:lvl w:ilvl="0" w:tplc="D7F457DE">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6388295D"/>
    <w:multiLevelType w:val="multilevel"/>
    <w:tmpl w:val="04905E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6A1F56"/>
    <w:multiLevelType w:val="hybridMultilevel"/>
    <w:tmpl w:val="D4AEBBAE"/>
    <w:lvl w:ilvl="0" w:tplc="43C2B91A">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75EC3533"/>
    <w:multiLevelType w:val="hybridMultilevel"/>
    <w:tmpl w:val="8CA40E3A"/>
    <w:lvl w:ilvl="0" w:tplc="4558C67E">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15:restartNumberingAfterBreak="0">
    <w:nsid w:val="7DCD63C2"/>
    <w:multiLevelType w:val="hybridMultilevel"/>
    <w:tmpl w:val="CB6A58F6"/>
    <w:lvl w:ilvl="0" w:tplc="E4E6F1AA">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16cid:durableId="1135876647">
    <w:abstractNumId w:val="3"/>
  </w:num>
  <w:num w:numId="2" w16cid:durableId="2014142911">
    <w:abstractNumId w:val="10"/>
  </w:num>
  <w:num w:numId="3" w16cid:durableId="349382481">
    <w:abstractNumId w:val="0"/>
  </w:num>
  <w:num w:numId="4" w16cid:durableId="2141416693">
    <w:abstractNumId w:val="1"/>
  </w:num>
  <w:num w:numId="5" w16cid:durableId="1095442491">
    <w:abstractNumId w:val="14"/>
  </w:num>
  <w:num w:numId="6" w16cid:durableId="825517421">
    <w:abstractNumId w:val="4"/>
  </w:num>
  <w:num w:numId="7" w16cid:durableId="1362049017">
    <w:abstractNumId w:val="13"/>
  </w:num>
  <w:num w:numId="8" w16cid:durableId="340082516">
    <w:abstractNumId w:val="6"/>
  </w:num>
  <w:num w:numId="9" w16cid:durableId="852305902">
    <w:abstractNumId w:val="8"/>
  </w:num>
  <w:num w:numId="10" w16cid:durableId="304042448">
    <w:abstractNumId w:val="7"/>
  </w:num>
  <w:num w:numId="11" w16cid:durableId="1468667753">
    <w:abstractNumId w:val="2"/>
  </w:num>
  <w:num w:numId="12" w16cid:durableId="973557502">
    <w:abstractNumId w:val="5"/>
  </w:num>
  <w:num w:numId="13" w16cid:durableId="443421151">
    <w:abstractNumId w:val="11"/>
  </w:num>
  <w:num w:numId="14" w16cid:durableId="1253902559">
    <w:abstractNumId w:val="12"/>
  </w:num>
  <w:num w:numId="15" w16cid:durableId="2837351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0160"/>
    <w:rsid w:val="00041305"/>
    <w:rsid w:val="0006472F"/>
    <w:rsid w:val="00074865"/>
    <w:rsid w:val="001B4D67"/>
    <w:rsid w:val="001D282B"/>
    <w:rsid w:val="00214C02"/>
    <w:rsid w:val="003259E1"/>
    <w:rsid w:val="003C7323"/>
    <w:rsid w:val="0040266F"/>
    <w:rsid w:val="004D61D5"/>
    <w:rsid w:val="00506A64"/>
    <w:rsid w:val="005433F5"/>
    <w:rsid w:val="005F55AD"/>
    <w:rsid w:val="00645C4B"/>
    <w:rsid w:val="00665094"/>
    <w:rsid w:val="006C31B8"/>
    <w:rsid w:val="007160E8"/>
    <w:rsid w:val="0072087D"/>
    <w:rsid w:val="007608F0"/>
    <w:rsid w:val="00790C91"/>
    <w:rsid w:val="007B7855"/>
    <w:rsid w:val="007C5270"/>
    <w:rsid w:val="007E18A9"/>
    <w:rsid w:val="0081287F"/>
    <w:rsid w:val="00875C4C"/>
    <w:rsid w:val="009046FD"/>
    <w:rsid w:val="00942637"/>
    <w:rsid w:val="009B77FB"/>
    <w:rsid w:val="009C0D95"/>
    <w:rsid w:val="009C3E34"/>
    <w:rsid w:val="009E0C10"/>
    <w:rsid w:val="00A64ADE"/>
    <w:rsid w:val="00A92530"/>
    <w:rsid w:val="00AD5DCB"/>
    <w:rsid w:val="00B042B5"/>
    <w:rsid w:val="00C634EF"/>
    <w:rsid w:val="00CE395D"/>
    <w:rsid w:val="00CF460E"/>
    <w:rsid w:val="00D07BB9"/>
    <w:rsid w:val="00D739D4"/>
    <w:rsid w:val="00E14B0A"/>
    <w:rsid w:val="00E64D41"/>
    <w:rsid w:val="00E741B0"/>
    <w:rsid w:val="00F93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10643C77-C548-4B14-9396-C5B911185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2">
    <w:name w:val="heading 2"/>
    <w:basedOn w:val="Normal"/>
    <w:qFormat/>
    <w:rsid w:val="00D739D4"/>
    <w:pPr>
      <w:spacing w:before="240" w:after="120" w:line="288" w:lineRule="atLeast"/>
      <w:outlineLvl w:val="1"/>
    </w:pPr>
    <w:rPr>
      <w:rFonts w:ascii="Georgia" w:eastAsia="Times New Roman" w:hAnsi="Georgia" w:cs="Tahoma"/>
      <w:color w:val="222222"/>
      <w:sz w:val="36"/>
      <w:szCs w:val="36"/>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NormalWeb">
    <w:name w:val="Normal (Web)"/>
    <w:basedOn w:val="Normal"/>
    <w:rsid w:val="00D739D4"/>
    <w:pPr>
      <w:spacing w:before="240" w:after="240" w:line="360" w:lineRule="atLeast"/>
    </w:pPr>
    <w:rPr>
      <w:rFonts w:ascii="Times New Roman" w:eastAsia="Times New Roman" w:hAnsi="Times New Roman"/>
      <w:szCs w:val="24"/>
    </w:rPr>
  </w:style>
  <w:style w:type="paragraph" w:customStyle="1" w:styleId="more">
    <w:name w:val="more"/>
    <w:basedOn w:val="Normal"/>
    <w:rsid w:val="00D739D4"/>
    <w:pPr>
      <w:spacing w:before="240" w:after="240" w:line="360" w:lineRule="atLeast"/>
    </w:pPr>
    <w:rPr>
      <w:rFonts w:ascii="Times New Roman" w:eastAsia="Times New Roman" w:hAnsi="Times New Roman"/>
      <w:sz w:val="29"/>
      <w:szCs w:val="29"/>
    </w:rPr>
  </w:style>
  <w:style w:type="paragraph" w:styleId="z-TopofForm">
    <w:name w:val="HTML Top of Form"/>
    <w:basedOn w:val="Normal"/>
    <w:next w:val="Normal"/>
    <w:hidden/>
    <w:rsid w:val="00D739D4"/>
    <w:pPr>
      <w:pBdr>
        <w:bottom w:val="single" w:sz="6" w:space="1" w:color="auto"/>
      </w:pBdr>
      <w:jc w:val="center"/>
    </w:pPr>
    <w:rPr>
      <w:rFonts w:ascii="Arial" w:eastAsia="Times New Roman" w:hAnsi="Arial" w:cs="Arial"/>
      <w:vanish/>
      <w:sz w:val="16"/>
      <w:szCs w:val="16"/>
    </w:rPr>
  </w:style>
  <w:style w:type="paragraph" w:styleId="z-BottomofForm">
    <w:name w:val="HTML Bottom of Form"/>
    <w:basedOn w:val="Normal"/>
    <w:next w:val="Normal"/>
    <w:hidden/>
    <w:rsid w:val="00D739D4"/>
    <w:pPr>
      <w:pBdr>
        <w:top w:val="single" w:sz="6" w:space="1" w:color="auto"/>
      </w:pBdr>
      <w:jc w:val="center"/>
    </w:pPr>
    <w:rPr>
      <w:rFonts w:ascii="Arial" w:eastAsia="Times New Roman" w:hAnsi="Arial" w:cs="Arial"/>
      <w:vanish/>
      <w:sz w:val="16"/>
      <w:szCs w:val="16"/>
    </w:rPr>
  </w:style>
  <w:style w:type="character" w:customStyle="1" w:styleId="gfieldrequired">
    <w:name w:val="gfield_required"/>
    <w:basedOn w:val="DefaultParagraphFont"/>
    <w:rsid w:val="00D73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057748">
      <w:bodyDiv w:val="1"/>
      <w:marLeft w:val="0"/>
      <w:marRight w:val="0"/>
      <w:marTop w:val="0"/>
      <w:marBottom w:val="0"/>
      <w:divBdr>
        <w:top w:val="none" w:sz="0" w:space="0" w:color="auto"/>
        <w:left w:val="none" w:sz="0" w:space="0" w:color="auto"/>
        <w:bottom w:val="none" w:sz="0" w:space="0" w:color="auto"/>
        <w:right w:val="none" w:sz="0" w:space="0" w:color="auto"/>
      </w:divBdr>
      <w:divsChild>
        <w:div w:id="1788620072">
          <w:marLeft w:val="0"/>
          <w:marRight w:val="0"/>
          <w:marTop w:val="0"/>
          <w:marBottom w:val="0"/>
          <w:divBdr>
            <w:top w:val="none" w:sz="0" w:space="0" w:color="auto"/>
            <w:left w:val="none" w:sz="0" w:space="0" w:color="auto"/>
            <w:bottom w:val="none" w:sz="0" w:space="0" w:color="auto"/>
            <w:right w:val="none" w:sz="0" w:space="0" w:color="auto"/>
          </w:divBdr>
          <w:divsChild>
            <w:div w:id="1847791760">
              <w:marLeft w:val="0"/>
              <w:marRight w:val="0"/>
              <w:marTop w:val="0"/>
              <w:marBottom w:val="0"/>
              <w:divBdr>
                <w:top w:val="none" w:sz="0" w:space="0" w:color="auto"/>
                <w:left w:val="single" w:sz="6" w:space="0" w:color="DDDDDD"/>
                <w:bottom w:val="none" w:sz="0" w:space="0" w:color="auto"/>
                <w:right w:val="single" w:sz="6" w:space="0" w:color="DDDDDD"/>
              </w:divBdr>
              <w:divsChild>
                <w:div w:id="2032561246">
                  <w:marLeft w:val="0"/>
                  <w:marRight w:val="0"/>
                  <w:marTop w:val="0"/>
                  <w:marBottom w:val="0"/>
                  <w:divBdr>
                    <w:top w:val="none" w:sz="0" w:space="0" w:color="auto"/>
                    <w:left w:val="none" w:sz="0" w:space="0" w:color="auto"/>
                    <w:bottom w:val="none" w:sz="0" w:space="0" w:color="auto"/>
                    <w:right w:val="none" w:sz="0" w:space="0" w:color="auto"/>
                  </w:divBdr>
                  <w:divsChild>
                    <w:div w:id="859709909">
                      <w:marLeft w:val="-15"/>
                      <w:marRight w:val="0"/>
                      <w:marTop w:val="0"/>
                      <w:marBottom w:val="0"/>
                      <w:divBdr>
                        <w:top w:val="none" w:sz="0" w:space="0" w:color="auto"/>
                        <w:left w:val="none" w:sz="0" w:space="0" w:color="auto"/>
                        <w:bottom w:val="none" w:sz="0" w:space="0" w:color="auto"/>
                        <w:right w:val="single" w:sz="6" w:space="0" w:color="DDDDDD"/>
                      </w:divBdr>
                      <w:divsChild>
                        <w:div w:id="1844584675">
                          <w:marLeft w:val="0"/>
                          <w:marRight w:val="0"/>
                          <w:marTop w:val="0"/>
                          <w:marBottom w:val="0"/>
                          <w:divBdr>
                            <w:top w:val="none" w:sz="0" w:space="0" w:color="auto"/>
                            <w:left w:val="none" w:sz="0" w:space="0" w:color="auto"/>
                            <w:bottom w:val="none" w:sz="0" w:space="0" w:color="auto"/>
                            <w:right w:val="none" w:sz="0" w:space="0" w:color="auto"/>
                          </w:divBdr>
                          <w:divsChild>
                            <w:div w:id="311494061">
                              <w:marLeft w:val="0"/>
                              <w:marRight w:val="0"/>
                              <w:marTop w:val="225"/>
                              <w:marBottom w:val="0"/>
                              <w:divBdr>
                                <w:top w:val="single" w:sz="6" w:space="11" w:color="DDDDDD"/>
                                <w:left w:val="none" w:sz="0" w:space="0" w:color="auto"/>
                                <w:bottom w:val="none" w:sz="0" w:space="0" w:color="auto"/>
                                <w:right w:val="none" w:sz="0" w:space="0" w:color="auto"/>
                              </w:divBdr>
                              <w:divsChild>
                                <w:div w:id="1382553889">
                                  <w:marLeft w:val="0"/>
                                  <w:marRight w:val="0"/>
                                  <w:marTop w:val="0"/>
                                  <w:marBottom w:val="0"/>
                                  <w:divBdr>
                                    <w:top w:val="none" w:sz="0" w:space="0" w:color="auto"/>
                                    <w:left w:val="none" w:sz="0" w:space="0" w:color="auto"/>
                                    <w:bottom w:val="none" w:sz="0" w:space="0" w:color="auto"/>
                                    <w:right w:val="none" w:sz="0" w:space="0" w:color="auto"/>
                                  </w:divBdr>
                                  <w:divsChild>
                                    <w:div w:id="170024685">
                                      <w:marLeft w:val="0"/>
                                      <w:marRight w:val="0"/>
                                      <w:marTop w:val="0"/>
                                      <w:marBottom w:val="0"/>
                                      <w:divBdr>
                                        <w:top w:val="none" w:sz="0" w:space="0" w:color="auto"/>
                                        <w:left w:val="none" w:sz="0" w:space="0" w:color="auto"/>
                                        <w:bottom w:val="none" w:sz="0" w:space="0" w:color="auto"/>
                                        <w:right w:val="none" w:sz="0" w:space="0" w:color="auto"/>
                                      </w:divBdr>
                                      <w:divsChild>
                                        <w:div w:id="13643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0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8646">
                      <w:marLeft w:val="-15"/>
                      <w:marRight w:val="0"/>
                      <w:marTop w:val="0"/>
                      <w:marBottom w:val="0"/>
                      <w:divBdr>
                        <w:top w:val="none" w:sz="0" w:space="0" w:color="auto"/>
                        <w:left w:val="single" w:sz="6" w:space="0" w:color="DDDDDD"/>
                        <w:bottom w:val="none" w:sz="0" w:space="0" w:color="auto"/>
                        <w:right w:val="none" w:sz="0" w:space="0" w:color="auto"/>
                      </w:divBdr>
                      <w:divsChild>
                        <w:div w:id="150144151">
                          <w:marLeft w:val="0"/>
                          <w:marRight w:val="0"/>
                          <w:marTop w:val="0"/>
                          <w:marBottom w:val="0"/>
                          <w:divBdr>
                            <w:top w:val="none" w:sz="0" w:space="0" w:color="auto"/>
                            <w:left w:val="none" w:sz="0" w:space="0" w:color="auto"/>
                            <w:bottom w:val="none" w:sz="0" w:space="0" w:color="auto"/>
                            <w:right w:val="none" w:sz="0" w:space="0" w:color="auto"/>
                          </w:divBdr>
                          <w:divsChild>
                            <w:div w:id="884101922">
                              <w:marLeft w:val="0"/>
                              <w:marRight w:val="0"/>
                              <w:marTop w:val="0"/>
                              <w:marBottom w:val="0"/>
                              <w:divBdr>
                                <w:top w:val="none" w:sz="0" w:space="0" w:color="auto"/>
                                <w:left w:val="none" w:sz="0" w:space="0" w:color="auto"/>
                                <w:bottom w:val="none" w:sz="0" w:space="0" w:color="auto"/>
                                <w:right w:val="none" w:sz="0" w:space="0" w:color="auto"/>
                              </w:divBdr>
                              <w:divsChild>
                                <w:div w:id="827358535">
                                  <w:marLeft w:val="0"/>
                                  <w:marRight w:val="0"/>
                                  <w:marTop w:val="0"/>
                                  <w:marBottom w:val="0"/>
                                  <w:divBdr>
                                    <w:top w:val="none" w:sz="0" w:space="0" w:color="auto"/>
                                    <w:left w:val="none" w:sz="0" w:space="0" w:color="auto"/>
                                    <w:bottom w:val="none" w:sz="0" w:space="0" w:color="auto"/>
                                    <w:right w:val="none" w:sz="0" w:space="0" w:color="auto"/>
                                  </w:divBdr>
                                </w:div>
                                <w:div w:id="1071738258">
                                  <w:marLeft w:val="0"/>
                                  <w:marRight w:val="0"/>
                                  <w:marTop w:val="0"/>
                                  <w:marBottom w:val="0"/>
                                  <w:divBdr>
                                    <w:top w:val="none" w:sz="0" w:space="0" w:color="auto"/>
                                    <w:left w:val="none" w:sz="0" w:space="0" w:color="auto"/>
                                    <w:bottom w:val="none" w:sz="0" w:space="0" w:color="auto"/>
                                    <w:right w:val="none" w:sz="0" w:space="0" w:color="auto"/>
                                  </w:divBdr>
                                </w:div>
                              </w:divsChild>
                            </w:div>
                            <w:div w:id="1478302081">
                              <w:marLeft w:val="0"/>
                              <w:marRight w:val="0"/>
                              <w:marTop w:val="0"/>
                              <w:marBottom w:val="0"/>
                              <w:divBdr>
                                <w:top w:val="none" w:sz="0" w:space="0" w:color="auto"/>
                                <w:left w:val="none" w:sz="0" w:space="0" w:color="auto"/>
                                <w:bottom w:val="none" w:sz="0" w:space="0" w:color="auto"/>
                                <w:right w:val="none" w:sz="0" w:space="0" w:color="auto"/>
                              </w:divBdr>
                            </w:div>
                          </w:divsChild>
                        </w:div>
                        <w:div w:id="379860163">
                          <w:marLeft w:val="0"/>
                          <w:marRight w:val="0"/>
                          <w:marTop w:val="0"/>
                          <w:marBottom w:val="0"/>
                          <w:divBdr>
                            <w:top w:val="none" w:sz="0" w:space="0" w:color="auto"/>
                            <w:left w:val="none" w:sz="0" w:space="0" w:color="auto"/>
                            <w:bottom w:val="none" w:sz="0" w:space="0" w:color="auto"/>
                            <w:right w:val="none" w:sz="0" w:space="0" w:color="auto"/>
                          </w:divBdr>
                        </w:div>
                        <w:div w:id="430974462">
                          <w:marLeft w:val="0"/>
                          <w:marRight w:val="0"/>
                          <w:marTop w:val="0"/>
                          <w:marBottom w:val="0"/>
                          <w:divBdr>
                            <w:top w:val="none" w:sz="0" w:space="0" w:color="auto"/>
                            <w:left w:val="none" w:sz="0" w:space="0" w:color="auto"/>
                            <w:bottom w:val="none" w:sz="0" w:space="0" w:color="auto"/>
                            <w:right w:val="none" w:sz="0" w:space="0" w:color="auto"/>
                          </w:divBdr>
                          <w:divsChild>
                            <w:div w:id="185097790">
                              <w:marLeft w:val="240"/>
                              <w:marRight w:val="240"/>
                              <w:marTop w:val="120"/>
                              <w:marBottom w:val="120"/>
                              <w:divBdr>
                                <w:top w:val="none" w:sz="0" w:space="0" w:color="auto"/>
                                <w:left w:val="none" w:sz="0" w:space="0" w:color="auto"/>
                                <w:bottom w:val="none" w:sz="0" w:space="0" w:color="auto"/>
                                <w:right w:val="none" w:sz="0" w:space="0" w:color="auto"/>
                              </w:divBdr>
                            </w:div>
                            <w:div w:id="1911572402">
                              <w:marLeft w:val="0"/>
                              <w:marRight w:val="0"/>
                              <w:marTop w:val="0"/>
                              <w:marBottom w:val="0"/>
                              <w:divBdr>
                                <w:top w:val="none" w:sz="0" w:space="0" w:color="auto"/>
                                <w:left w:val="none" w:sz="0" w:space="0" w:color="auto"/>
                                <w:bottom w:val="none" w:sz="0" w:space="0" w:color="auto"/>
                                <w:right w:val="none" w:sz="0" w:space="0" w:color="auto"/>
                              </w:divBdr>
                            </w:div>
                          </w:divsChild>
                        </w:div>
                        <w:div w:id="661079812">
                          <w:marLeft w:val="0"/>
                          <w:marRight w:val="0"/>
                          <w:marTop w:val="0"/>
                          <w:marBottom w:val="0"/>
                          <w:divBdr>
                            <w:top w:val="none" w:sz="0" w:space="0" w:color="auto"/>
                            <w:left w:val="none" w:sz="0" w:space="0" w:color="auto"/>
                            <w:bottom w:val="none" w:sz="0" w:space="0" w:color="auto"/>
                            <w:right w:val="none" w:sz="0" w:space="0" w:color="auto"/>
                          </w:divBdr>
                        </w:div>
                        <w:div w:id="1422098357">
                          <w:marLeft w:val="0"/>
                          <w:marRight w:val="0"/>
                          <w:marTop w:val="0"/>
                          <w:marBottom w:val="0"/>
                          <w:divBdr>
                            <w:top w:val="none" w:sz="0" w:space="0" w:color="auto"/>
                            <w:left w:val="none" w:sz="0" w:space="0" w:color="auto"/>
                            <w:bottom w:val="none" w:sz="0" w:space="0" w:color="auto"/>
                            <w:right w:val="none" w:sz="0" w:space="0" w:color="auto"/>
                          </w:divBdr>
                        </w:div>
                        <w:div w:id="1653872798">
                          <w:marLeft w:val="0"/>
                          <w:marRight w:val="0"/>
                          <w:marTop w:val="0"/>
                          <w:marBottom w:val="0"/>
                          <w:divBdr>
                            <w:top w:val="none" w:sz="0" w:space="0" w:color="auto"/>
                            <w:left w:val="none" w:sz="0" w:space="0" w:color="auto"/>
                            <w:bottom w:val="none" w:sz="0" w:space="0" w:color="auto"/>
                            <w:right w:val="none" w:sz="0" w:space="0" w:color="auto"/>
                          </w:divBdr>
                          <w:divsChild>
                            <w:div w:id="21388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pi.org/files/2013/snapshot-unemplyment-by-industry.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http://www.epi.org/files/2013/snapshot-unemplyment-by-industry.png.6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vt:lpstr>
    </vt:vector>
  </TitlesOfParts>
  <Company>SDSU</Company>
  <LinksUpToDate>false</LinksUpToDate>
  <CharactersWithSpaces>3445</CharactersWithSpaces>
  <SharedDoc>false</SharedDoc>
  <HLinks>
    <vt:vector size="12" baseType="variant">
      <vt:variant>
        <vt:i4>4063268</vt:i4>
      </vt:variant>
      <vt:variant>
        <vt:i4>0</vt:i4>
      </vt:variant>
      <vt:variant>
        <vt:i4>0</vt:i4>
      </vt:variant>
      <vt:variant>
        <vt:i4>5</vt:i4>
      </vt:variant>
      <vt:variant>
        <vt:lpwstr>http://www.epi.org/files/2013/snapshot-unemplyment-by-industry.png</vt:lpwstr>
      </vt:variant>
      <vt:variant>
        <vt:lpwstr/>
      </vt:variant>
      <vt:variant>
        <vt:i4>4063268</vt:i4>
      </vt:variant>
      <vt:variant>
        <vt:i4>4923</vt:i4>
      </vt:variant>
      <vt:variant>
        <vt:i4>1025</vt:i4>
      </vt:variant>
      <vt:variant>
        <vt:i4>4</vt:i4>
      </vt:variant>
      <vt:variant>
        <vt:lpwstr>http://www.epi.org/files/2013/snapshot-unemplyment-by-industry.png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CAL</dc:creator>
  <cp:keywords/>
  <dc:description/>
  <cp:lastModifiedBy>Joseph Rezaei</cp:lastModifiedBy>
  <cp:revision>2</cp:revision>
  <cp:lastPrinted>2008-02-29T18:01:00Z</cp:lastPrinted>
  <dcterms:created xsi:type="dcterms:W3CDTF">2024-10-09T21:20:00Z</dcterms:created>
  <dcterms:modified xsi:type="dcterms:W3CDTF">2024-10-09T21:20:00Z</dcterms:modified>
</cp:coreProperties>
</file>