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J. Netherlands and marijuana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less adult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less young adult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less older teen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less younger teen use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firstLine="720"/>
        <w:rPr>
          <w:rFonts w:ascii="New York" w:hAnsi="New York"/>
        </w:rPr>
      </w:pPr>
      <w:r>
        <w:rPr>
          <w:rFonts w:ascii="New York" w:hAnsi="New York"/>
        </w:rPr>
        <w:t>II. History of Labeling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1. Pure Food and Drug Act 1906: disclosure of contents patent medicine.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2. Harrison Act 1914: revenue, but led to criminalization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3. Volstead Act/Eighteenth Amendment: alcohol prohibition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4. Marijuana Tax Act of 1937: revenue, but led to criminalization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5.  Controlled Substance Act 1970: (summary and drug schedule)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6. Sentencing Reform Act 1984: mandatory sentencing 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7. Anti-Drug Abuse Act of 1988: alcohol, death penalty, asset forfeiture</w:t>
      </w:r>
    </w:p>
    <w:p w:rsidR="00312A33" w:rsidRDefault="00312A33" w:rsidP="00312A33">
      <w:pPr>
        <w:ind w:left="720" w:firstLine="720"/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8. 1997 Tobacco Agreement: $368 billion in health care, discontinue billboard advertising, withdraw Joe Camel</w:t>
      </w:r>
    </w:p>
    <w:p w:rsidR="00312A33" w:rsidRDefault="00312A33" w:rsidP="00312A33"/>
    <w:p w:rsidR="00312A33" w:rsidRDefault="00312A33"/>
    <w:sectPr w:rsidR="00312A33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3714" w:rsidRDefault="00DC3714">
      <w:r>
        <w:separator/>
      </w:r>
    </w:p>
  </w:endnote>
  <w:endnote w:type="continuationSeparator" w:id="0">
    <w:p w:rsidR="00DC3714" w:rsidRDefault="00DC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A33" w:rsidRDefault="00312A33" w:rsidP="00312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A33" w:rsidRDefault="00312A33" w:rsidP="00312A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A33" w:rsidRDefault="00312A33" w:rsidP="00312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12A33" w:rsidRDefault="00312A33" w:rsidP="00312A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3714" w:rsidRDefault="00DC3714">
      <w:r>
        <w:separator/>
      </w:r>
    </w:p>
  </w:footnote>
  <w:footnote w:type="continuationSeparator" w:id="0">
    <w:p w:rsidR="00DC3714" w:rsidRDefault="00DC3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A33"/>
    <w:rsid w:val="00312A33"/>
    <w:rsid w:val="00DC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BD678-7A68-489F-A9EC-907FCF4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A3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12A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