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Arial" w:hAnsi="Arial" w:eastAsia="Arial Unicode MS" w:cs="Arial Unicode MS"/>
          <w:b/>
          <w:color w:val="000000"/>
          <w:sz w:val="46"/>
        </w:rPr>
        <w:t>姜珊</w:t>
      </w:r>
    </w:p>
    <w:p>
      <w:pPr>
        <w:keepNext w:val="0"/>
        <w:spacing w:before="0" w:after="20" w:line="240" w:lineRule="auto"/>
        <w:jc w:val="center"/>
      </w:pPr>
      <w:r>
        <w:rPr>
          <w:rFonts w:ascii="Arial" w:hAnsi="Arial" w:eastAsia="Arial Unicode MS" w:cs="Arial Unicode MS"/>
          <w:b w:val="0"/>
          <w:color w:val="555555"/>
          <w:sz w:val="18"/>
        </w:rPr>
        <w:t>[手机号]   |   [邮箱]   |   [GitHub]</w:t>
      </w:r>
    </w:p>
    <w:p>
      <w:pPr>
        <w:keepNext w:val="0"/>
        <w:spacing w:before="0" w:after="100" w:line="240" w:lineRule="auto"/>
        <w:jc w:val="center"/>
      </w:pPr>
      <w:r>
        <w:rPr>
          <w:rFonts w:ascii="Arial" w:hAnsi="Arial" w:eastAsia="Arial Unicode MS" w:cs="Arial Unicode MS"/>
          <w:b w:val="0"/>
          <w:color w:val="222222"/>
          <w:sz w:val="19"/>
        </w:rPr>
        <w:t>求职方向  AI Agent 开发实习生 / RAG 应用实习生 / Python 后端实习生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59"/>
        <w:gridCol w:w="8391"/>
      </w:tblGrid>
      <w:tr>
        <w:tc>
          <w:tcPr>
            <w:tcW w:type="dxa" w:w="5244"/>
            <w:shd w:fill="2F80D0"/>
            <w:tcMar>
              <w:top w:w="45" w:type="dxa"/>
              <w:start w:w="12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 Unicode MS" w:cs="Arial Unicode MS"/>
                <w:b/>
                <w:color w:val="FFFFFF"/>
                <w:sz w:val="23"/>
              </w:rPr>
              <w:t>教育背景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pBdr>
                <w:bottom w:val="single" w:sz="6" w:color="D9E1E8"/>
              </w:pBdr>
            </w:pPr>
          </w:p>
        </w:tc>
      </w:tr>
    </w:tbl>
    <w:p>
      <w:pPr>
        <w:keepNext w:val="0"/>
        <w:spacing w:before="0" w:after="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72"/>
        <w:gridCol w:w="3628"/>
        <w:gridCol w:w="2494"/>
      </w:tblGrid>
      <w:tr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 Unicode MS" w:cs="Arial Unicode MS"/>
                <w:b/>
                <w:color w:val="222222"/>
                <w:sz w:val="18"/>
              </w:rPr>
              <w:t>[学校名称]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 Unicode MS" w:cs="Arial Unicode MS"/>
                <w:b w:val="0"/>
                <w:color w:val="222222"/>
                <w:sz w:val="18"/>
              </w:rPr>
              <w:t>[专业名称]  [学历]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rial" w:hAnsi="Arial" w:eastAsia="Arial Unicode MS" w:cs="Arial Unicode MS"/>
                <w:b w:val="0"/>
                <w:color w:val="222222"/>
                <w:sz w:val="18"/>
              </w:rPr>
              <w:t>[起止时间]</w:t>
            </w:r>
          </w:p>
        </w:tc>
      </w:tr>
      <w:tr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 Unicode MS" w:cs="Arial Unicode MS"/>
                <w:b w:val="0"/>
                <w:color w:val="555555"/>
                <w:sz w:val="18"/>
              </w:rPr>
              <w:t>[GPA / 排名 / 奖项，可删除]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 Unicode MS" w:cs="Arial Unicode MS"/>
                <w:b w:val="0"/>
                <w:color w:val="555555"/>
                <w:sz w:val="18"/>
              </w:rPr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rial" w:hAnsi="Arial" w:eastAsia="Arial Unicode MS" w:cs="Arial Unicode MS"/>
                <w:b w:val="0"/>
                <w:color w:val="555555"/>
                <w:sz w:val="18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59"/>
        <w:gridCol w:w="8391"/>
      </w:tblGrid>
      <w:tr>
        <w:tc>
          <w:tcPr>
            <w:tcW w:type="dxa" w:w="5244"/>
            <w:shd w:fill="2F80D0"/>
            <w:tcMar>
              <w:top w:w="45" w:type="dxa"/>
              <w:start w:w="12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 Unicode MS" w:cs="Arial Unicode MS"/>
                <w:b/>
                <w:color w:val="FFFFFF"/>
                <w:sz w:val="23"/>
              </w:rPr>
              <w:t>专业技能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pBdr>
                <w:bottom w:val="single" w:sz="6" w:color="D9E1E8"/>
              </w:pBdr>
            </w:pPr>
          </w:p>
        </w:tc>
      </w:tr>
    </w:tbl>
    <w:p>
      <w:pPr>
        <w:keepNext w:val="0"/>
        <w:spacing w:before="0" w:after="20" w:line="240" w:lineRule="auto"/>
      </w:pPr>
    </w:p>
    <w:p>
      <w:pPr>
        <w:pStyle w:val="ListBullet"/>
        <w:keepNext w:val="0"/>
        <w:spacing w:before="0" w:after="10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8"/>
        </w:rPr>
        <w:t>熟悉 Python 后端开发，能够使用 FastAPI、Pydantic、asyncio、httpx 与 SSE 构建异步接口和流式服务。</w:t>
      </w:r>
    </w:p>
    <w:p>
      <w:pPr>
        <w:pStyle w:val="ListBullet"/>
        <w:keepNext w:val="0"/>
        <w:spacing w:before="0" w:after="10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8"/>
        </w:rPr>
        <w:t>掌握 Agent 与 RAG 核心链路，具备 MCP 工具调用、Agent Loop、BGE 向量检索、字符 n-gram 检索、RRF 融合、证据门控与引用校验实践。</w:t>
      </w:r>
    </w:p>
    <w:p>
      <w:pPr>
        <w:pStyle w:val="ListBullet"/>
        <w:keepNext w:val="0"/>
        <w:spacing w:before="0" w:after="10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8"/>
        </w:rPr>
        <w:t>熟悉 Redis 与 SQLite 的工程使用，能够使用 Redis Lua 实现原子配额控制，并设计会话、文件、租户与 Trace 数据模型。</w:t>
      </w:r>
    </w:p>
    <w:p>
      <w:pPr>
        <w:pStyle w:val="ListBullet"/>
        <w:keepNext w:val="0"/>
        <w:spacing w:before="0" w:after="10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8"/>
        </w:rPr>
        <w:t>熟悉 Docker 与 nsjail 隔离执行，能够配置网络、CPU、内存、进程数、超时及输出限制，并处理多租户资源隔离。</w:t>
      </w:r>
    </w:p>
    <w:p>
      <w:pPr>
        <w:pStyle w:val="ListBullet"/>
        <w:keepNext w:val="0"/>
        <w:spacing w:before="0" w:after="10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8"/>
        </w:rPr>
        <w:t>具备自动化测试和性能分析经验，使用 pytest、并发压测及 p50/p95/p99、吞吐、HTTP 429、CPU 和内存指标定位问题。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59"/>
        <w:gridCol w:w="8391"/>
      </w:tblGrid>
      <w:tr>
        <w:tc>
          <w:tcPr>
            <w:tcW w:type="dxa" w:w="5244"/>
            <w:shd w:fill="2F80D0"/>
            <w:tcMar>
              <w:top w:w="45" w:type="dxa"/>
              <w:start w:w="12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 Unicode MS" w:cs="Arial Unicode MS"/>
                <w:b/>
                <w:color w:val="FFFFFF"/>
                <w:sz w:val="23"/>
              </w:rPr>
              <w:t>项目经历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pBdr>
                <w:bottom w:val="single" w:sz="6" w:color="D9E1E8"/>
              </w:pBdr>
            </w:pPr>
          </w:p>
        </w:tc>
      </w:tr>
    </w:tbl>
    <w:p>
      <w:pPr>
        <w:keepNext w:val="0"/>
        <w:spacing w:before="0" w:after="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2268"/>
        <w:gridCol w:w="2494"/>
      </w:tblGrid>
      <w:tr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FundResearch Agent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AI Agent / RAG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个人项目  持续迭代</w:t>
            </w:r>
          </w:p>
        </w:tc>
      </w:tr>
    </w:tbl>
    <w:p>
      <w:pPr>
        <w:keepNext w:val="0"/>
        <w:spacing w:before="0" w:after="20" w:line="247" w:lineRule="auto"/>
      </w:pPr>
      <w:r>
        <w:rPr>
          <w:rFonts w:ascii="Arial" w:hAnsi="Arial" w:eastAsia="Arial Unicode MS" w:cs="Arial Unicode MS"/>
          <w:b/>
          <w:color w:val="222222"/>
          <w:sz w:val="18"/>
        </w:rPr>
        <w:t>技术栈：</w:t>
      </w:r>
      <w:r>
        <w:rPr>
          <w:rFonts w:ascii="Arial" w:hAnsi="Arial" w:eastAsia="Arial Unicode MS" w:cs="Arial Unicode MS"/>
          <w:b w:val="0"/>
          <w:color w:val="222222"/>
          <w:sz w:val="18"/>
        </w:rPr>
        <w:t>Python、FastAPI、SQLite、SSE、MCP、Docker、BGE、RRF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面向基金研究场景实现可审计 RAG Agent，支持官方 PDF 上传与逐页索引、字符 n-gram 与 BGE 向量混合检索、SSE 流式回答、页码引用及 SQLite Trace 查询，RAG 路径关闭 MCP 工具调用。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设计检索、证据判定和生成三层链路，EvidenceSufficiencyGate 对年份、费用、评级和联系方式等字段进行可解释准入判断，证据不足时阻断生成并返回拒答原因。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实现 QueryNormalizer，将自然问法映射为可审计的基金领域检索词，同时保留用户原问题构建 Grounded Prompt，降低查询扩展造成的语义漂移。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基于 5 家基金公司、10 份官网 PDF 构建 128 条开发、回归和后置盲测用例；混合检索 Page Hit@3 达到 100%，并通过盲测定位门控对未见表达的泛化缺口。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2268"/>
        <w:gridCol w:w="2494"/>
      </w:tblGrid>
      <w:tr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Agent Sandbox Control Plane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Python 后端 / Agent 基础设施</w:t>
            </w:r>
          </w:p>
        </w:tc>
        <w:tc>
          <w:tcPr>
            <w:tcW w:type="dxa" w:w="3496"/>
            <w:tcMar>
              <w:top w:w="15" w:type="dxa"/>
              <w:start w:w="0" w:type="dxa"/>
              <w:bottom w:w="15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rial" w:hAnsi="Arial" w:eastAsia="Arial Unicode MS" w:cs="Arial Unicode MS"/>
                <w:b/>
                <w:color w:val="222222"/>
                <w:sz w:val="20"/>
              </w:rPr>
              <w:t>二次开发  持续迭代</w:t>
            </w:r>
          </w:p>
        </w:tc>
      </w:tr>
    </w:tbl>
    <w:p>
      <w:pPr>
        <w:keepNext w:val="0"/>
        <w:spacing w:before="0" w:after="20" w:line="247" w:lineRule="auto"/>
      </w:pPr>
      <w:r>
        <w:rPr>
          <w:rFonts w:ascii="Arial" w:hAnsi="Arial" w:eastAsia="Arial Unicode MS" w:cs="Arial Unicode MS"/>
          <w:b/>
          <w:color w:val="222222"/>
          <w:sz w:val="18"/>
        </w:rPr>
        <w:t>技术栈：</w:t>
      </w:r>
      <w:r>
        <w:rPr>
          <w:rFonts w:ascii="Arial" w:hAnsi="Arial" w:eastAsia="Arial Unicode MS" w:cs="Arial Unicode MS"/>
          <w:b w:val="0"/>
          <w:color w:val="222222"/>
          <w:sz w:val="18"/>
        </w:rPr>
        <w:t>Python、FastAPI、Redis、Docker、nsjail、Lua、pytest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基于 LibreCodeInterpreter 二次开发多租户 Agent 代码执行平台，引入 Tenant、API Key 与资源配额模型，通过 Redis Lua 原子维护并发租约及日调用额度，并发争抢测试未出现配额超卖。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完善租户级会话与文件隔离，阻止跨租户复用 Session、Entity ID 和文件引用；构建覆盖认证、配额、隔离及 API 契约的自动化测试，当前 553 项单元测试通过。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搭建可重复压测体系，采集吞吐、p50/p95/p99、HTTP 429、容器 CPU/内存及预热池命中来源，定位并修复 fresh sandbox 被错误统计为 pool hit 的可观测性缺陷。</w:t>
      </w:r>
    </w:p>
    <w:p>
      <w:pPr>
        <w:pStyle w:val="ListBullet"/>
        <w:keepNext w:val="0"/>
        <w:spacing w:before="0" w:after="8" w:line="252" w:lineRule="auto"/>
        <w:ind w:left="312" w:hanging="159"/>
      </w:pPr>
      <w:r>
        <w:rPr>
          <w:rFonts w:ascii="Arial" w:hAnsi="Arial" w:eastAsia="Arial Unicode MS" w:cs="Arial Unicode MS"/>
          <w:b w:val="0"/>
          <w:color w:val="222222"/>
          <w:sz w:val="17"/>
        </w:rPr>
        <w:t>设计负载感知的自适应预热池，根据活跃执行数、创建中请求和近期 miss 动态扩缩容，并支持失效 REPL 自愈；在 2 CPU / 2 GiB 环境下吞吐提升 11.28%，p95/p99 分别降低 32.09%/32.17%，平均内存降低 34.11%。</w:t>
      </w:r>
    </w:p>
    <w:sectPr w:rsidR="00FC693F" w:rsidRPr="0006063C" w:rsidSect="00034616">
      <w:pgSz w:w="11906" w:h="16838"/>
      <w:pgMar w:top="482" w:right="709" w:bottom="42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姜珊 AI Agent 实习简历</dc:title>
  <dc:subject>双项目经历与专业技能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