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discussed configurations of data elements, rule sets based on categories (foreigner, local, organization) and modules. They reviewed the number of models needed and agreed to look at use cases and business requirements to finalize the models, documenting the details in the user manual. The discussion covered maintenance of existing models and the potential creation of new ones, combining several processes in version 2.0. The meeting also addressed scoring methods, including a combination of human-configured rules and machine learning, and how to determine weightage for business rules and models. The integration of the new Eagle Eye tool with existing systems and its use in case management was discussed, especially regarding data access and permission levels for different user roles, and how it would relate to existing BI and analytics tools. Concern was raised about replicating the features from 1.0 into 2.0 to ensure old usecases are accounted for. There was an agreement that dashboards would be newly configured within Install BI. It was decided to follow up with PIU and determine their use case requirements for Eagle Eye.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