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Summary</w:t>
      </w:r>
    </w:p>
    <w:p>
      <w:r>
        <w:t>The meeting focused on developing several analytics products. Key decisions included prioritizing the finalization and UI/UX development for *Financial Analysis* and *Corporate Demographic*, using the stable, monthly-updated production Data Warehouse (SSMDW) as the data source. Features for *Financial Analysis*, including period filtering, key metrics, 10 ratios, and industry comparison, were reviewed. It was decided to develop use cases for *Charge Analysis* separately for now, potentially integrating it later. A proposal to include *MSIC codes* for market share analysis was deemed complex, requiring a separate follow-up meeting with relevant personnel (Azi/Speaker E). Adding predictive ML/recommender features to external products was discussed, but concerns were raised about suitability compared to internal *Managed Services*. Action items include KB/Vincent developing Charge Analysis use cases, the UI team creating designs suitable for both subscription dashboards and simpler PDF reports, scheduling the MSIC follow-up meeting, and, for the separate *Managed Services* project, finalizing 60 use cases (focusing on predictive) and planning meetings with SMEs.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