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Summary</w:t>
      </w:r>
    </w:p>
    <w:p>
      <w:r>
        <w:t>The meeting covered progress on Charji analysis, financial analysis, corporate demographics, and managed services products. For Charji, the focus is on developing use cases. Financial analysis includes filtering by year/period, revenue, expenditure, profit, cash flow, and financial ratios, with monthly updates from a stable data warehouse. UI/UX development will proceed after minor changes. The team discussed incorporating MSIC codes into corporate demographics to analyze market size, requiring a separate meeting for database access and brainstorming. Concerns were raised about potential overlap and data presentation when recommending companies, leading to discussions about machine learning capabilities and distinguishing designs for subscription products versus PDF reports. The team plans to narrow down 75 use cases to 60 for managed services, engaging SMEs to prioritize and guide use case development, and acknowledged overlaps with CBU use cases.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