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Meeting Summary</w:t>
      </w:r>
    </w:p>
    <w:p>
      <w:r>
        <w:t>The discussion centers around the components and functions of RE, including business rules, models, and their hierarchy. They discussed the need to explain action codes, reason codes, decision-making, and color/scoring codes within the model. The conversation explores how users request and manage changes to business rules and configurations within the RI (Risk Intelligence) system, debating whether to use a common module or integrate directly. The group decided that a formal permohonan (request) process is needed for configuration changes, utilizing the existing CR (hard desk) system via service requests. Effective dates for changes were also discussed and the impact on scoring, determining to discuss the data retention with SME (Subject Matter Expert) in a future meeting. They also discussed the decision between using batch and real-time scoring, potentially using a combination of both depending on data availability.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