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68" w:rsidRDefault="00B43B68" w:rsidP="001F617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have created a subroutine in </w:t>
      </w:r>
      <w:proofErr w:type="gramStart"/>
      <w:r>
        <w:rPr>
          <w:rFonts w:ascii="Times New Roman" w:hAnsi="Times New Roman" w:cs="Times New Roman"/>
          <w:sz w:val="24"/>
          <w:szCs w:val="24"/>
        </w:rPr>
        <w:t>Fortran</w:t>
      </w:r>
      <w:proofErr w:type="gramEnd"/>
      <w:r>
        <w:rPr>
          <w:rFonts w:ascii="Times New Roman" w:hAnsi="Times New Roman" w:cs="Times New Roman"/>
          <w:sz w:val="24"/>
          <w:szCs w:val="24"/>
        </w:rPr>
        <w:t xml:space="preserve"> to generate a single element lattice with variable lattice parameter and number of unit cells (</w:t>
      </w:r>
      <w:proofErr w:type="spellStart"/>
      <w:r>
        <w:rPr>
          <w:rFonts w:ascii="Times New Roman" w:hAnsi="Times New Roman" w:cs="Times New Roman"/>
          <w:i/>
          <w:sz w:val="24"/>
          <w:szCs w:val="24"/>
        </w:rPr>
        <w:t>generate_lat</w:t>
      </w:r>
      <w:proofErr w:type="spellEnd"/>
      <w:r>
        <w:rPr>
          <w:rFonts w:ascii="Times New Roman" w:hAnsi="Times New Roman" w:cs="Times New Roman"/>
          <w:sz w:val="24"/>
          <w:szCs w:val="24"/>
        </w:rPr>
        <w:t xml:space="preserve">). This subroutine relies on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and allocates the appropriate atom coordinate arrays (in reduced units), overwriting any preexisting ones. It also assumes an FCC lattice. I believe structure created by this subroutine is correct because it generates the correct number of atoms, looks correct when imported into VESTA, and is simple to read and understand.</w:t>
      </w:r>
    </w:p>
    <w:p w:rsidR="00B43B68" w:rsidRDefault="00B43B68" w:rsidP="003B2D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subroutine </w:t>
      </w:r>
      <w:proofErr w:type="spellStart"/>
      <w:r>
        <w:rPr>
          <w:rFonts w:ascii="Times New Roman" w:hAnsi="Times New Roman" w:cs="Times New Roman"/>
          <w:i/>
          <w:sz w:val="24"/>
          <w:szCs w:val="24"/>
        </w:rPr>
        <w:t>lat_save</w:t>
      </w:r>
      <w:proofErr w:type="spellEnd"/>
      <w:r>
        <w:rPr>
          <w:rFonts w:ascii="Times New Roman" w:hAnsi="Times New Roman" w:cs="Times New Roman"/>
          <w:sz w:val="24"/>
          <w:szCs w:val="24"/>
        </w:rPr>
        <w:t xml:space="preserve"> saves the lattice generated in </w:t>
      </w:r>
      <w:proofErr w:type="spellStart"/>
      <w:r>
        <w:rPr>
          <w:rFonts w:ascii="Times New Roman" w:hAnsi="Times New Roman" w:cs="Times New Roman"/>
          <w:i/>
          <w:sz w:val="24"/>
          <w:szCs w:val="24"/>
        </w:rPr>
        <w:t>generate_lat</w:t>
      </w:r>
      <w:proofErr w:type="spellEnd"/>
      <w:r>
        <w:rPr>
          <w:rFonts w:ascii="Times New Roman" w:hAnsi="Times New Roman" w:cs="Times New Roman"/>
          <w:sz w:val="24"/>
          <w:szCs w:val="24"/>
        </w:rPr>
        <w:t xml:space="preserve"> in Angstrom coordinates with the xyz file format. Atoms are assumed to be Ar.</w:t>
      </w:r>
    </w:p>
    <w:p w:rsidR="00B43B68" w:rsidRDefault="00B43B68" w:rsidP="003B2D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Two subroutines, </w:t>
      </w:r>
      <w:proofErr w:type="spellStart"/>
      <w:r>
        <w:rPr>
          <w:rFonts w:ascii="Times New Roman" w:hAnsi="Times New Roman" w:cs="Times New Roman"/>
          <w:i/>
          <w:sz w:val="24"/>
          <w:szCs w:val="24"/>
        </w:rPr>
        <w:t>etot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etot_nopbc</w:t>
      </w:r>
      <w:proofErr w:type="spellEnd"/>
      <w:r>
        <w:rPr>
          <w:rFonts w:ascii="Times New Roman" w:hAnsi="Times New Roman" w:cs="Times New Roman"/>
          <w:sz w:val="24"/>
          <w:szCs w:val="24"/>
        </w:rPr>
        <w:t xml:space="preserve"> were created to calculate the total energy of the system and the energies of individual atoms, from which the cohesive energy of the model is calculated with and without periodic boundary conditions</w:t>
      </w:r>
      <w:r w:rsidR="00295591">
        <w:rPr>
          <w:rFonts w:ascii="Times New Roman" w:hAnsi="Times New Roman" w:cs="Times New Roman"/>
          <w:sz w:val="24"/>
          <w:szCs w:val="24"/>
        </w:rPr>
        <w:t xml:space="preserve"> (PBCs)</w:t>
      </w:r>
      <w:r>
        <w:rPr>
          <w:rFonts w:ascii="Times New Roman" w:hAnsi="Times New Roman" w:cs="Times New Roman"/>
          <w:sz w:val="24"/>
          <w:szCs w:val="24"/>
        </w:rPr>
        <w:t>, respectively. These functions currently do not return any energy values and all prints-to-screen must be made within the subroutines.</w:t>
      </w:r>
    </w:p>
    <w:p w:rsidR="00B43B68" w:rsidRDefault="00B43B68" w:rsidP="003B2D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energy calculations are done using a Lenard-Jones function </w:t>
      </w:r>
      <w:r>
        <w:rPr>
          <w:rFonts w:ascii="Times New Roman" w:hAnsi="Times New Roman" w:cs="Times New Roman"/>
          <w:i/>
          <w:sz w:val="24"/>
          <w:szCs w:val="24"/>
        </w:rPr>
        <w:t>LJ</w:t>
      </w:r>
      <w:r>
        <w:rPr>
          <w:rFonts w:ascii="Times New Roman" w:hAnsi="Times New Roman" w:cs="Times New Roman"/>
          <w:sz w:val="24"/>
          <w:szCs w:val="24"/>
        </w:rPr>
        <w:t xml:space="preserve"> in reduced units. This function can easily be replaced in the energy calculations if another potential is desired.</w:t>
      </w:r>
    </w:p>
    <w:p w:rsidR="00B43B68" w:rsidRDefault="00B43B68" w:rsidP="003B2DA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main program consists of sigma and epsilon parameters for the LJ reduced coordinates as well as the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lattice constant. A for loop generates </w:t>
      </w:r>
      <w:r w:rsidR="003B2DA5">
        <w:rPr>
          <w:rFonts w:ascii="Times New Roman" w:hAnsi="Times New Roman" w:cs="Times New Roman"/>
          <w:sz w:val="24"/>
          <w:szCs w:val="24"/>
        </w:rPr>
        <w:t xml:space="preserve">models with the number of unit cells between 1 and 20 and calls the </w:t>
      </w:r>
      <w:proofErr w:type="spellStart"/>
      <w:r w:rsidR="003B2DA5">
        <w:rPr>
          <w:rFonts w:ascii="Times New Roman" w:hAnsi="Times New Roman" w:cs="Times New Roman"/>
          <w:i/>
          <w:sz w:val="24"/>
          <w:szCs w:val="24"/>
        </w:rPr>
        <w:t>etot</w:t>
      </w:r>
      <w:proofErr w:type="spellEnd"/>
      <w:r w:rsidR="003B2DA5">
        <w:rPr>
          <w:rFonts w:ascii="Times New Roman" w:hAnsi="Times New Roman" w:cs="Times New Roman"/>
          <w:sz w:val="24"/>
          <w:szCs w:val="24"/>
        </w:rPr>
        <w:t xml:space="preserve"> or </w:t>
      </w:r>
      <w:proofErr w:type="spellStart"/>
      <w:r w:rsidR="003B2DA5">
        <w:rPr>
          <w:rFonts w:ascii="Times New Roman" w:hAnsi="Times New Roman" w:cs="Times New Roman"/>
          <w:i/>
          <w:sz w:val="24"/>
          <w:szCs w:val="24"/>
        </w:rPr>
        <w:t>etot_nopbc</w:t>
      </w:r>
      <w:proofErr w:type="spellEnd"/>
      <w:r w:rsidR="003B2DA5">
        <w:rPr>
          <w:rFonts w:ascii="Times New Roman" w:hAnsi="Times New Roman" w:cs="Times New Roman"/>
          <w:sz w:val="24"/>
          <w:szCs w:val="24"/>
        </w:rPr>
        <w:t xml:space="preserve"> energy subroutines for each model to calculate and print the desired results.</w:t>
      </w:r>
    </w:p>
    <w:p w:rsidR="003B2DA5" w:rsidRDefault="003B2DA5" w:rsidP="003B2DA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3736E">
        <w:rPr>
          <w:rFonts w:ascii="Times New Roman" w:hAnsi="Times New Roman" w:cs="Times New Roman"/>
          <w:sz w:val="24"/>
          <w:szCs w:val="24"/>
        </w:rPr>
        <w:t xml:space="preserve">Figure 1 displays the cohesive energy for these models with and without using </w:t>
      </w:r>
      <w:r w:rsidR="00295591">
        <w:rPr>
          <w:rFonts w:ascii="Times New Roman" w:hAnsi="Times New Roman" w:cs="Times New Roman"/>
          <w:sz w:val="24"/>
          <w:szCs w:val="24"/>
        </w:rPr>
        <w:t>PBCs</w:t>
      </w:r>
      <w:r w:rsidR="00F3736E">
        <w:rPr>
          <w:rFonts w:ascii="Times New Roman" w:hAnsi="Times New Roman" w:cs="Times New Roman"/>
          <w:sz w:val="24"/>
          <w:szCs w:val="24"/>
        </w:rPr>
        <w:t xml:space="preserve">. </w:t>
      </w:r>
      <w:r w:rsidR="00295591">
        <w:rPr>
          <w:rFonts w:ascii="Times New Roman" w:hAnsi="Times New Roman" w:cs="Times New Roman"/>
          <w:sz w:val="24"/>
          <w:szCs w:val="24"/>
        </w:rPr>
        <w:t xml:space="preserve">The cohesive energy for the models without PBCs converges slower and to a higher energy than the PBC models, which is expected behavior. The theoretical cohesive energy of an </w:t>
      </w:r>
      <w:proofErr w:type="spellStart"/>
      <w:r w:rsidR="00295591">
        <w:rPr>
          <w:rFonts w:ascii="Times New Roman" w:hAnsi="Times New Roman" w:cs="Times New Roman"/>
          <w:sz w:val="24"/>
          <w:szCs w:val="24"/>
        </w:rPr>
        <w:t>Ar</w:t>
      </w:r>
      <w:proofErr w:type="spellEnd"/>
      <w:r w:rsidR="00295591">
        <w:rPr>
          <w:rFonts w:ascii="Times New Roman" w:hAnsi="Times New Roman" w:cs="Times New Roman"/>
          <w:sz w:val="24"/>
          <w:szCs w:val="24"/>
        </w:rPr>
        <w:t xml:space="preserve"> lattice is        -0.089eV, which is what the PBC models converge to after only a few unit cells.</w:t>
      </w:r>
      <w:r w:rsidR="001F617B">
        <w:rPr>
          <w:rFonts w:ascii="Times New Roman" w:hAnsi="Times New Roman" w:cs="Times New Roman"/>
          <w:sz w:val="24"/>
          <w:szCs w:val="24"/>
        </w:rPr>
        <w:t xml:space="preserve"> In fact, the PBC models’ cohesive energy converges to -0.0893554eV fairly conclusively, which is surprisingly accurate for even small models. The convergence cohesive energy for the non-PBC models is     -0.084eV, which is higher than that for both the experimental and PBC models.</w:t>
      </w:r>
    </w:p>
    <w:p w:rsidR="00F3736E" w:rsidRDefault="00F3736E" w:rsidP="003B2DA5">
      <w:pPr>
        <w:spacing w:after="0" w:line="240" w:lineRule="auto"/>
        <w:rPr>
          <w:rFonts w:ascii="Times New Roman" w:hAnsi="Times New Roman" w:cs="Times New Roman"/>
          <w:sz w:val="24"/>
          <w:szCs w:val="24"/>
        </w:rPr>
      </w:pPr>
      <w:bookmarkStart w:id="0" w:name="_GoBack"/>
      <w:bookmarkEnd w:id="0"/>
    </w:p>
    <w:p w:rsidR="00F3736E" w:rsidRDefault="00F3736E" w:rsidP="00F3736E">
      <w:pPr>
        <w:spacing w:after="0" w:line="240" w:lineRule="auto"/>
        <w:jc w:val="center"/>
        <w:rPr>
          <w:rFonts w:ascii="Times New Roman" w:hAnsi="Times New Roman" w:cs="Times New Roman"/>
          <w:sz w:val="24"/>
          <w:szCs w:val="24"/>
        </w:rPr>
      </w:pPr>
      <w:r>
        <w:rPr>
          <w:noProof/>
        </w:rPr>
        <w:drawing>
          <wp:inline distT="0" distB="0" distL="0" distR="0" wp14:anchorId="2402379D" wp14:editId="4B687B4D">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3736E" w:rsidRPr="003B2DA5" w:rsidRDefault="00F3736E" w:rsidP="00F373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The convergence of the cohesive energy for an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lattice with and without using periodic boundary conditions.</w:t>
      </w:r>
    </w:p>
    <w:sectPr w:rsidR="00F3736E" w:rsidRPr="003B2D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873" w:rsidRDefault="00F50873" w:rsidP="001F617B">
      <w:pPr>
        <w:spacing w:after="0" w:line="240" w:lineRule="auto"/>
      </w:pPr>
      <w:r>
        <w:separator/>
      </w:r>
    </w:p>
  </w:endnote>
  <w:endnote w:type="continuationSeparator" w:id="0">
    <w:p w:rsidR="00F50873" w:rsidRDefault="00F50873" w:rsidP="001F6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873" w:rsidRDefault="00F50873" w:rsidP="001F617B">
      <w:pPr>
        <w:spacing w:after="0" w:line="240" w:lineRule="auto"/>
      </w:pPr>
      <w:r>
        <w:separator/>
      </w:r>
    </w:p>
  </w:footnote>
  <w:footnote w:type="continuationSeparator" w:id="0">
    <w:p w:rsidR="00F50873" w:rsidRDefault="00F50873" w:rsidP="001F6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17B" w:rsidRPr="00B43B68" w:rsidRDefault="001F617B" w:rsidP="001F617B">
    <w:pPr>
      <w:spacing w:after="0" w:line="240" w:lineRule="auto"/>
      <w:rPr>
        <w:rFonts w:ascii="Times New Roman" w:hAnsi="Times New Roman" w:cs="Times New Roman"/>
        <w:sz w:val="24"/>
        <w:szCs w:val="24"/>
      </w:rPr>
    </w:pPr>
    <w:r w:rsidRPr="00B43B68">
      <w:rPr>
        <w:rFonts w:ascii="Times New Roman" w:hAnsi="Times New Roman" w:cs="Times New Roman"/>
        <w:sz w:val="24"/>
        <w:szCs w:val="24"/>
      </w:rPr>
      <w:t>Jason Maldonis</w:t>
    </w:r>
  </w:p>
  <w:p w:rsidR="001F617B" w:rsidRDefault="001F617B" w:rsidP="001F617B">
    <w:pPr>
      <w:spacing w:after="0" w:line="240" w:lineRule="auto"/>
      <w:rPr>
        <w:rFonts w:ascii="Times New Roman" w:hAnsi="Times New Roman" w:cs="Times New Roman"/>
        <w:sz w:val="24"/>
        <w:szCs w:val="24"/>
      </w:rPr>
    </w:pPr>
    <w:r>
      <w:rPr>
        <w:rFonts w:ascii="Times New Roman" w:hAnsi="Times New Roman" w:cs="Times New Roman"/>
        <w:sz w:val="24"/>
        <w:szCs w:val="24"/>
      </w:rPr>
      <w:t>Homework 1</w:t>
    </w:r>
  </w:p>
  <w:p w:rsidR="001F617B" w:rsidRDefault="001F617B" w:rsidP="001F617B">
    <w:pPr>
      <w:spacing w:after="0" w:line="240" w:lineRule="auto"/>
      <w:rPr>
        <w:rFonts w:ascii="Times New Roman" w:hAnsi="Times New Roman" w:cs="Times New Roman"/>
        <w:sz w:val="24"/>
        <w:szCs w:val="24"/>
      </w:rPr>
    </w:pPr>
    <w:r>
      <w:rPr>
        <w:rFonts w:ascii="Times New Roman" w:hAnsi="Times New Roman" w:cs="Times New Roman"/>
        <w:sz w:val="24"/>
        <w:szCs w:val="24"/>
      </w:rPr>
      <w:t>MSE 760</w:t>
    </w:r>
  </w:p>
  <w:p w:rsidR="001F617B" w:rsidRDefault="001F617B" w:rsidP="001F617B">
    <w:pPr>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68"/>
    <w:rsid w:val="001F617B"/>
    <w:rsid w:val="00295591"/>
    <w:rsid w:val="003B2DA5"/>
    <w:rsid w:val="009A7C80"/>
    <w:rsid w:val="00B43B68"/>
    <w:rsid w:val="00B45761"/>
    <w:rsid w:val="00F3736E"/>
    <w:rsid w:val="00F5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36E"/>
    <w:rPr>
      <w:rFonts w:ascii="Tahoma" w:hAnsi="Tahoma" w:cs="Tahoma"/>
      <w:sz w:val="16"/>
      <w:szCs w:val="16"/>
    </w:rPr>
  </w:style>
  <w:style w:type="paragraph" w:styleId="Header">
    <w:name w:val="header"/>
    <w:basedOn w:val="Normal"/>
    <w:link w:val="HeaderChar"/>
    <w:uiPriority w:val="99"/>
    <w:unhideWhenUsed/>
    <w:rsid w:val="001F6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7B"/>
  </w:style>
  <w:style w:type="paragraph" w:styleId="Footer">
    <w:name w:val="footer"/>
    <w:basedOn w:val="Normal"/>
    <w:link w:val="FooterChar"/>
    <w:uiPriority w:val="99"/>
    <w:unhideWhenUsed/>
    <w:rsid w:val="001F6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36E"/>
    <w:rPr>
      <w:rFonts w:ascii="Tahoma" w:hAnsi="Tahoma" w:cs="Tahoma"/>
      <w:sz w:val="16"/>
      <w:szCs w:val="16"/>
    </w:rPr>
  </w:style>
  <w:style w:type="paragraph" w:styleId="Header">
    <w:name w:val="header"/>
    <w:basedOn w:val="Normal"/>
    <w:link w:val="HeaderChar"/>
    <w:uiPriority w:val="99"/>
    <w:unhideWhenUsed/>
    <w:rsid w:val="001F6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7B"/>
  </w:style>
  <w:style w:type="paragraph" w:styleId="Footer">
    <w:name w:val="footer"/>
    <w:basedOn w:val="Normal"/>
    <w:link w:val="FooterChar"/>
    <w:uiPriority w:val="99"/>
    <w:unhideWhenUsed/>
    <w:rsid w:val="001F6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59973753280839"/>
          <c:y val="5.1400554097404488E-2"/>
          <c:w val="0.78708048993875768"/>
          <c:h val="0.89719889180519097"/>
        </c:manualLayout>
      </c:layout>
      <c:scatterChart>
        <c:scatterStyle val="lineMarker"/>
        <c:varyColors val="0"/>
        <c:ser>
          <c:idx val="0"/>
          <c:order val="0"/>
          <c:tx>
            <c:strRef>
              <c:f>Sheet1!$B$1</c:f>
              <c:strCache>
                <c:ptCount val="1"/>
                <c:pt idx="0">
                  <c:v>No PBC</c:v>
                </c:pt>
              </c:strCache>
            </c:strRef>
          </c:tx>
          <c:xVal>
            <c:numRef>
              <c:f>Sheet1!$A$2:$A$22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Sheet1!$B$2:$B$22</c:f>
              <c:numCache>
                <c:formatCode>0.00E+00</c:formatCode>
                <c:ptCount val="21"/>
                <c:pt idx="0">
                  <c:v>-1.5164814E-2</c:v>
                </c:pt>
                <c:pt idx="1">
                  <c:v>-4.2541875999999999E-2</c:v>
                </c:pt>
                <c:pt idx="2">
                  <c:v>-5.5623620999999998E-2</c:v>
                </c:pt>
                <c:pt idx="3">
                  <c:v>-6.3059567999999996E-2</c:v>
                </c:pt>
                <c:pt idx="4">
                  <c:v>-6.7831351999999998E-2</c:v>
                </c:pt>
                <c:pt idx="5">
                  <c:v>-7.1145333000000005E-2</c:v>
                </c:pt>
                <c:pt idx="6">
                  <c:v>-7.3577449000000003E-2</c:v>
                </c:pt>
                <c:pt idx="7">
                  <c:v>-7.5437665000000001E-2</c:v>
                </c:pt>
                <c:pt idx="8">
                  <c:v>-7.6906114999999997E-2</c:v>
                </c:pt>
                <c:pt idx="9">
                  <c:v>-7.8094630999999998E-2</c:v>
                </c:pt>
                <c:pt idx="10">
                  <c:v>-7.9076237999999993E-2</c:v>
                </c:pt>
                <c:pt idx="11">
                  <c:v>-7.9900548000000002E-2</c:v>
                </c:pt>
                <c:pt idx="12">
                  <c:v>-8.0602556000000006E-2</c:v>
                </c:pt>
                <c:pt idx="13">
                  <c:v>-8.1207581000000001E-2</c:v>
                </c:pt>
                <c:pt idx="14">
                  <c:v>-8.1734425999999999E-2</c:v>
                </c:pt>
                <c:pt idx="15">
                  <c:v>-8.2197316000000006E-2</c:v>
                </c:pt>
                <c:pt idx="16">
                  <c:v>-8.2607180000000002E-2</c:v>
                </c:pt>
                <c:pt idx="17">
                  <c:v>-8.2972675999999995E-2</c:v>
                </c:pt>
                <c:pt idx="18">
                  <c:v>-8.3300642999999994E-2</c:v>
                </c:pt>
                <c:pt idx="19">
                  <c:v>-8.3596564999999998E-2</c:v>
                </c:pt>
              </c:numCache>
            </c:numRef>
          </c:yVal>
          <c:smooth val="0"/>
        </c:ser>
        <c:ser>
          <c:idx val="1"/>
          <c:order val="1"/>
          <c:tx>
            <c:strRef>
              <c:f>Sheet1!$C$1</c:f>
              <c:strCache>
                <c:ptCount val="1"/>
                <c:pt idx="0">
                  <c:v>PBC</c:v>
                </c:pt>
              </c:strCache>
            </c:strRef>
          </c:tx>
          <c:xVal>
            <c:numRef>
              <c:f>Sheet1!$A$2:$A$22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Sheet1!$C$2:$C$22</c:f>
              <c:numCache>
                <c:formatCode>0.00E+00</c:formatCode>
                <c:ptCount val="21"/>
                <c:pt idx="0">
                  <c:v>-1.5164814E-2</c:v>
                </c:pt>
                <c:pt idx="1">
                  <c:v>-7.0776119999999998E-2</c:v>
                </c:pt>
                <c:pt idx="2">
                  <c:v>-8.4468744999999998E-2</c:v>
                </c:pt>
                <c:pt idx="3">
                  <c:v>-8.7474957000000006E-2</c:v>
                </c:pt>
                <c:pt idx="4">
                  <c:v>-8.8490791999999999E-2</c:v>
                </c:pt>
                <c:pt idx="5">
                  <c:v>-8.8927083000000004E-2</c:v>
                </c:pt>
                <c:pt idx="6">
                  <c:v>-8.9145011999999996E-2</c:v>
                </c:pt>
                <c:pt idx="7">
                  <c:v>-8.9261800000000002E-2</c:v>
                </c:pt>
                <c:pt idx="8">
                  <c:v>-8.9320741999999995E-2</c:v>
                </c:pt>
                <c:pt idx="9">
                  <c:v>-8.9347473999999996E-2</c:v>
                </c:pt>
                <c:pt idx="10">
                  <c:v>-8.9355394000000005E-2</c:v>
                </c:pt>
                <c:pt idx="11">
                  <c:v>-8.9355378999999999E-2</c:v>
                </c:pt>
                <c:pt idx="12">
                  <c:v>-8.9355394000000005E-2</c:v>
                </c:pt>
                <c:pt idx="13">
                  <c:v>-8.9355386999999994E-2</c:v>
                </c:pt>
                <c:pt idx="14">
                  <c:v>-8.9355408999999997E-2</c:v>
                </c:pt>
                <c:pt idx="15">
                  <c:v>-8.9355394000000005E-2</c:v>
                </c:pt>
                <c:pt idx="16">
                  <c:v>-8.9355408999999997E-2</c:v>
                </c:pt>
                <c:pt idx="17">
                  <c:v>-8.9355417000000006E-2</c:v>
                </c:pt>
                <c:pt idx="18">
                  <c:v>-8.9355417000000006E-2</c:v>
                </c:pt>
                <c:pt idx="19">
                  <c:v>-8.9355394000000005E-2</c:v>
                </c:pt>
              </c:numCache>
            </c:numRef>
          </c:yVal>
          <c:smooth val="0"/>
        </c:ser>
        <c:dLbls>
          <c:showLegendKey val="0"/>
          <c:showVal val="0"/>
          <c:showCatName val="0"/>
          <c:showSerName val="0"/>
          <c:showPercent val="0"/>
          <c:showBubbleSize val="0"/>
        </c:dLbls>
        <c:axId val="113831296"/>
        <c:axId val="144217984"/>
      </c:scatterChart>
      <c:valAx>
        <c:axId val="113831296"/>
        <c:scaling>
          <c:orientation val="minMax"/>
        </c:scaling>
        <c:delete val="0"/>
        <c:axPos val="b"/>
        <c:title>
          <c:tx>
            <c:rich>
              <a:bodyPr/>
              <a:lstStyle/>
              <a:p>
                <a:pPr>
                  <a:defRPr/>
                </a:pPr>
                <a:r>
                  <a:rPr lang="en-US"/>
                  <a:t># Unit Cells</a:t>
                </a:r>
              </a:p>
            </c:rich>
          </c:tx>
          <c:overlay val="0"/>
        </c:title>
        <c:numFmt formatCode="General" sourceLinked="1"/>
        <c:majorTickMark val="out"/>
        <c:minorTickMark val="none"/>
        <c:tickLblPos val="nextTo"/>
        <c:crossAx val="144217984"/>
        <c:crosses val="autoZero"/>
        <c:crossBetween val="midCat"/>
      </c:valAx>
      <c:valAx>
        <c:axId val="144217984"/>
        <c:scaling>
          <c:orientation val="minMax"/>
        </c:scaling>
        <c:delete val="0"/>
        <c:axPos val="l"/>
        <c:title>
          <c:tx>
            <c:rich>
              <a:bodyPr rot="-5400000" vert="horz"/>
              <a:lstStyle/>
              <a:p>
                <a:pPr>
                  <a:defRPr/>
                </a:pPr>
                <a:r>
                  <a:rPr lang="en-US"/>
                  <a:t>Cohesive Energy (eV)</a:t>
                </a:r>
              </a:p>
            </c:rich>
          </c:tx>
          <c:overlay val="0"/>
        </c:title>
        <c:numFmt formatCode="0.00E+00" sourceLinked="1"/>
        <c:majorTickMark val="out"/>
        <c:minorTickMark val="none"/>
        <c:tickLblPos val="nextTo"/>
        <c:crossAx val="113831296"/>
        <c:crosses val="autoZero"/>
        <c:crossBetween val="midCat"/>
      </c:valAx>
    </c:plotArea>
    <c:legend>
      <c:legendPos val="r"/>
      <c:layout>
        <c:manualLayout>
          <c:xMode val="edge"/>
          <c:yMode val="edge"/>
          <c:x val="0.51131911636045491"/>
          <c:y val="0.3005420676582094"/>
          <c:w val="0.16645866141732282"/>
          <c:h val="0.1674343832020997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2014-01-24T21:10:00Z</dcterms:created>
  <dcterms:modified xsi:type="dcterms:W3CDTF">2014-01-24T22:51:00Z</dcterms:modified>
</cp:coreProperties>
</file>