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73ED4" w14:textId="77777777" w:rsidR="00367AF4" w:rsidRDefault="00367AF4" w:rsidP="00367AF4">
      <w:pPr>
        <w:jc w:val="center"/>
        <w:rPr>
          <w:rFonts w:ascii="Times New Roman" w:hAnsi="Times New Roman" w:cs="Times New Roman"/>
          <w:sz w:val="28"/>
          <w:szCs w:val="28"/>
        </w:rPr>
      </w:pPr>
    </w:p>
    <w:p w14:paraId="19524274" w14:textId="77777777" w:rsidR="00367AF4" w:rsidRDefault="00367AF4" w:rsidP="00367AF4">
      <w:pPr>
        <w:jc w:val="center"/>
        <w:rPr>
          <w:rFonts w:ascii="Times New Roman" w:hAnsi="Times New Roman" w:cs="Times New Roman"/>
          <w:sz w:val="28"/>
          <w:szCs w:val="28"/>
        </w:rPr>
      </w:pPr>
    </w:p>
    <w:p w14:paraId="03CC2427" w14:textId="77777777" w:rsidR="00367AF4" w:rsidRDefault="00367AF4" w:rsidP="00367AF4">
      <w:pPr>
        <w:jc w:val="center"/>
        <w:rPr>
          <w:rFonts w:ascii="Times New Roman" w:hAnsi="Times New Roman" w:cs="Times New Roman"/>
          <w:sz w:val="28"/>
          <w:szCs w:val="28"/>
        </w:rPr>
      </w:pPr>
    </w:p>
    <w:p w14:paraId="49938EA2" w14:textId="77777777" w:rsidR="00367AF4" w:rsidRDefault="00367AF4" w:rsidP="00367AF4">
      <w:pPr>
        <w:jc w:val="center"/>
        <w:rPr>
          <w:rFonts w:ascii="Times New Roman" w:hAnsi="Times New Roman" w:cs="Times New Roman"/>
          <w:sz w:val="28"/>
          <w:szCs w:val="28"/>
        </w:rPr>
      </w:pPr>
    </w:p>
    <w:p w14:paraId="3CD3CBF9" w14:textId="77777777" w:rsidR="00367AF4" w:rsidRDefault="00367AF4" w:rsidP="00367AF4">
      <w:pPr>
        <w:jc w:val="center"/>
        <w:rPr>
          <w:rFonts w:ascii="Times New Roman" w:hAnsi="Times New Roman" w:cs="Times New Roman"/>
          <w:sz w:val="28"/>
          <w:szCs w:val="28"/>
        </w:rPr>
      </w:pPr>
    </w:p>
    <w:p w14:paraId="2444D13F" w14:textId="77777777" w:rsidR="00367AF4" w:rsidRDefault="00367AF4" w:rsidP="00367AF4">
      <w:pPr>
        <w:jc w:val="center"/>
        <w:rPr>
          <w:rFonts w:ascii="Times New Roman" w:hAnsi="Times New Roman" w:cs="Times New Roman"/>
          <w:sz w:val="28"/>
          <w:szCs w:val="28"/>
        </w:rPr>
      </w:pPr>
    </w:p>
    <w:p w14:paraId="7F1C23CB" w14:textId="77777777" w:rsidR="00367AF4" w:rsidRDefault="00367AF4" w:rsidP="00367AF4">
      <w:pPr>
        <w:jc w:val="center"/>
        <w:rPr>
          <w:rFonts w:ascii="Times New Roman" w:hAnsi="Times New Roman" w:cs="Times New Roman"/>
          <w:sz w:val="28"/>
          <w:szCs w:val="28"/>
        </w:rPr>
      </w:pPr>
    </w:p>
    <w:p w14:paraId="75960EA4" w14:textId="77777777" w:rsidR="00367AF4" w:rsidRDefault="00367AF4" w:rsidP="00367AF4">
      <w:pPr>
        <w:jc w:val="center"/>
        <w:rPr>
          <w:rFonts w:ascii="Times New Roman" w:hAnsi="Times New Roman" w:cs="Times New Roman"/>
          <w:sz w:val="28"/>
          <w:szCs w:val="28"/>
        </w:rPr>
      </w:pPr>
    </w:p>
    <w:p w14:paraId="18BC9900" w14:textId="77777777" w:rsidR="00367AF4" w:rsidRDefault="00367AF4" w:rsidP="00367AF4">
      <w:pPr>
        <w:jc w:val="center"/>
        <w:rPr>
          <w:rFonts w:ascii="Times New Roman" w:hAnsi="Times New Roman" w:cs="Times New Roman"/>
          <w:sz w:val="28"/>
          <w:szCs w:val="28"/>
        </w:rPr>
      </w:pPr>
    </w:p>
    <w:p w14:paraId="16464C60" w14:textId="77777777" w:rsidR="00367AF4" w:rsidRDefault="00367AF4" w:rsidP="00367AF4">
      <w:pPr>
        <w:jc w:val="center"/>
        <w:rPr>
          <w:rFonts w:ascii="Times New Roman" w:hAnsi="Times New Roman" w:cs="Times New Roman"/>
          <w:sz w:val="28"/>
          <w:szCs w:val="28"/>
        </w:rPr>
      </w:pPr>
    </w:p>
    <w:p w14:paraId="21ECBB45" w14:textId="77777777" w:rsidR="00367AF4" w:rsidRDefault="00367AF4" w:rsidP="00367AF4">
      <w:pPr>
        <w:jc w:val="center"/>
        <w:rPr>
          <w:rFonts w:ascii="Times New Roman" w:hAnsi="Times New Roman" w:cs="Times New Roman"/>
          <w:sz w:val="28"/>
          <w:szCs w:val="28"/>
        </w:rPr>
      </w:pPr>
    </w:p>
    <w:p w14:paraId="11D908FB" w14:textId="0850619C" w:rsidR="00367AF4" w:rsidRPr="00E46E9E" w:rsidRDefault="00367AF4" w:rsidP="00367AF4">
      <w:pPr>
        <w:jc w:val="center"/>
        <w:rPr>
          <w:rFonts w:ascii="Times New Roman" w:hAnsi="Times New Roman" w:cs="Times New Roman"/>
          <w:b/>
          <w:bCs/>
          <w:sz w:val="28"/>
          <w:szCs w:val="28"/>
        </w:rPr>
      </w:pPr>
      <w:r>
        <w:rPr>
          <w:rFonts w:ascii="Times New Roman" w:hAnsi="Times New Roman" w:cs="Times New Roman"/>
          <w:b/>
          <w:bCs/>
          <w:sz w:val="28"/>
          <w:szCs w:val="28"/>
        </w:rPr>
        <w:t>Evaluation Framework and Metric Plan</w:t>
      </w:r>
      <w:r>
        <w:rPr>
          <w:rFonts w:ascii="Times New Roman" w:hAnsi="Times New Roman" w:cs="Times New Roman"/>
          <w:b/>
          <w:bCs/>
          <w:sz w:val="28"/>
          <w:szCs w:val="28"/>
        </w:rPr>
        <w:t>: MedScanAssist</w:t>
      </w:r>
    </w:p>
    <w:p w14:paraId="4E3A4087" w14:textId="77777777" w:rsidR="00367AF4" w:rsidRDefault="00367AF4" w:rsidP="00367AF4">
      <w:pPr>
        <w:jc w:val="center"/>
        <w:rPr>
          <w:rFonts w:ascii="Times New Roman" w:hAnsi="Times New Roman" w:cs="Times New Roman"/>
          <w:sz w:val="28"/>
          <w:szCs w:val="28"/>
        </w:rPr>
      </w:pPr>
    </w:p>
    <w:p w14:paraId="2BCA4F7D" w14:textId="77777777" w:rsidR="00367AF4" w:rsidRDefault="00367AF4" w:rsidP="00367AF4">
      <w:pPr>
        <w:jc w:val="center"/>
        <w:rPr>
          <w:rFonts w:ascii="Times New Roman" w:hAnsi="Times New Roman" w:cs="Times New Roman"/>
        </w:rPr>
      </w:pPr>
      <w:r>
        <w:rPr>
          <w:rFonts w:ascii="Times New Roman" w:hAnsi="Times New Roman" w:cs="Times New Roman"/>
        </w:rPr>
        <w:t>Jackson McKeigue</w:t>
      </w:r>
    </w:p>
    <w:p w14:paraId="0B583D17" w14:textId="77777777" w:rsidR="00367AF4" w:rsidRDefault="00367AF4" w:rsidP="00367AF4">
      <w:pPr>
        <w:jc w:val="center"/>
        <w:rPr>
          <w:rFonts w:ascii="Times New Roman" w:hAnsi="Times New Roman" w:cs="Times New Roman"/>
        </w:rPr>
      </w:pPr>
      <w:r>
        <w:rPr>
          <w:rFonts w:ascii="Times New Roman" w:hAnsi="Times New Roman" w:cs="Times New Roman"/>
        </w:rPr>
        <w:t>AI 5273: AI Capstone Project</w:t>
      </w:r>
    </w:p>
    <w:p w14:paraId="532C4431" w14:textId="77777777" w:rsidR="00367AF4" w:rsidRDefault="00367AF4" w:rsidP="00367AF4">
      <w:pPr>
        <w:jc w:val="center"/>
        <w:rPr>
          <w:rFonts w:ascii="Times New Roman" w:hAnsi="Times New Roman" w:cs="Times New Roman"/>
        </w:rPr>
      </w:pPr>
      <w:r>
        <w:rPr>
          <w:rFonts w:ascii="Times New Roman" w:hAnsi="Times New Roman" w:cs="Times New Roman"/>
        </w:rPr>
        <w:t>Carlos A. Escobar</w:t>
      </w:r>
    </w:p>
    <w:p w14:paraId="6440E56A" w14:textId="7A2BD795" w:rsidR="00367AF4" w:rsidRDefault="00367AF4" w:rsidP="00367AF4">
      <w:pPr>
        <w:jc w:val="center"/>
        <w:rPr>
          <w:rFonts w:ascii="Times New Roman" w:hAnsi="Times New Roman" w:cs="Times New Roman"/>
        </w:rPr>
      </w:pPr>
      <w:r>
        <w:rPr>
          <w:rFonts w:ascii="Times New Roman" w:hAnsi="Times New Roman" w:cs="Times New Roman"/>
        </w:rPr>
        <w:t>4/</w:t>
      </w:r>
      <w:r>
        <w:rPr>
          <w:rFonts w:ascii="Times New Roman" w:hAnsi="Times New Roman" w:cs="Times New Roman"/>
        </w:rPr>
        <w:t>12</w:t>
      </w:r>
      <w:r>
        <w:rPr>
          <w:rFonts w:ascii="Times New Roman" w:hAnsi="Times New Roman" w:cs="Times New Roman"/>
        </w:rPr>
        <w:t xml:space="preserve">/26 </w:t>
      </w:r>
    </w:p>
    <w:p w14:paraId="28ADF6A4" w14:textId="77777777" w:rsidR="00367AF4" w:rsidRDefault="00367AF4" w:rsidP="00367AF4">
      <w:pPr>
        <w:jc w:val="center"/>
        <w:rPr>
          <w:rFonts w:ascii="Times New Roman" w:hAnsi="Times New Roman" w:cs="Times New Roman"/>
        </w:rPr>
      </w:pPr>
    </w:p>
    <w:p w14:paraId="34DBB0F8" w14:textId="77777777" w:rsidR="00367AF4" w:rsidRDefault="00367AF4" w:rsidP="00367AF4">
      <w:pPr>
        <w:jc w:val="center"/>
        <w:rPr>
          <w:rFonts w:ascii="Times New Roman" w:hAnsi="Times New Roman" w:cs="Times New Roman"/>
        </w:rPr>
      </w:pPr>
    </w:p>
    <w:p w14:paraId="6B20E731" w14:textId="77777777" w:rsidR="00367AF4" w:rsidRDefault="00367AF4" w:rsidP="00367AF4">
      <w:pPr>
        <w:jc w:val="center"/>
        <w:rPr>
          <w:rFonts w:ascii="Times New Roman" w:hAnsi="Times New Roman" w:cs="Times New Roman"/>
        </w:rPr>
      </w:pPr>
    </w:p>
    <w:p w14:paraId="68523F7B" w14:textId="77777777" w:rsidR="00367AF4" w:rsidRDefault="00367AF4" w:rsidP="00367AF4">
      <w:pPr>
        <w:jc w:val="center"/>
        <w:rPr>
          <w:rFonts w:ascii="Times New Roman" w:hAnsi="Times New Roman" w:cs="Times New Roman"/>
        </w:rPr>
      </w:pPr>
    </w:p>
    <w:p w14:paraId="365A351D" w14:textId="77777777" w:rsidR="00367AF4" w:rsidRDefault="00367AF4" w:rsidP="00367AF4">
      <w:pPr>
        <w:jc w:val="center"/>
        <w:rPr>
          <w:rFonts w:ascii="Times New Roman" w:hAnsi="Times New Roman" w:cs="Times New Roman"/>
        </w:rPr>
      </w:pPr>
    </w:p>
    <w:p w14:paraId="3DB474CC" w14:textId="77777777" w:rsidR="00367AF4" w:rsidRDefault="00367AF4" w:rsidP="00367AF4">
      <w:pPr>
        <w:jc w:val="center"/>
        <w:rPr>
          <w:rFonts w:ascii="Times New Roman" w:hAnsi="Times New Roman" w:cs="Times New Roman"/>
        </w:rPr>
      </w:pPr>
    </w:p>
    <w:p w14:paraId="4EF19917" w14:textId="77777777" w:rsidR="00367AF4" w:rsidRDefault="00367AF4" w:rsidP="00367AF4">
      <w:pPr>
        <w:jc w:val="center"/>
        <w:rPr>
          <w:rFonts w:ascii="Times New Roman" w:hAnsi="Times New Roman" w:cs="Times New Roman"/>
        </w:rPr>
      </w:pPr>
    </w:p>
    <w:p w14:paraId="258ADF2C" w14:textId="77777777" w:rsidR="00367AF4" w:rsidRDefault="00367AF4" w:rsidP="00367AF4"/>
    <w:p w14:paraId="11C126DA" w14:textId="6DD09562" w:rsidR="00006908" w:rsidRDefault="00367AF4">
      <w:pPr>
        <w:rPr>
          <w:rFonts w:ascii="Times New Roman" w:hAnsi="Times New Roman" w:cs="Times New Roman"/>
          <w:b/>
          <w:bCs/>
          <w:sz w:val="28"/>
          <w:szCs w:val="28"/>
        </w:rPr>
      </w:pPr>
      <w:r>
        <w:rPr>
          <w:rFonts w:ascii="Times New Roman" w:hAnsi="Times New Roman" w:cs="Times New Roman"/>
          <w:b/>
          <w:bCs/>
          <w:sz w:val="28"/>
          <w:szCs w:val="28"/>
        </w:rPr>
        <w:lastRenderedPageBreak/>
        <w:t>Introduction</w:t>
      </w:r>
    </w:p>
    <w:p w14:paraId="70F1CC7A" w14:textId="3A745B0E" w:rsidR="00367AF4" w:rsidRDefault="00367AF4">
      <w:pPr>
        <w:rPr>
          <w:rFonts w:ascii="Times New Roman" w:hAnsi="Times New Roman" w:cs="Times New Roman"/>
        </w:rPr>
      </w:pPr>
      <w:r>
        <w:rPr>
          <w:rFonts w:ascii="Times New Roman" w:hAnsi="Times New Roman" w:cs="Times New Roman"/>
        </w:rPr>
        <w:t>The development of MedScanAssist, a deep learning-based clinical decision support system for pneumonia detection, requires a structured evaluation framework to ensure that the system is not only technically effective but also clinically meaningful, ethical, and reliable. As established in prior project work, success is not defined solely by predictive accuracy but by the system’s ability to function responsibly within a healthcare context. This evaluation framework integrates performance metrics, ethical considerations, stakeholder needs, and risk mitigation strategies to provide a comprehensive approach to assessing system effectiveness.</w:t>
      </w:r>
    </w:p>
    <w:p w14:paraId="784DEABE" w14:textId="669E801E" w:rsidR="00367AF4" w:rsidRDefault="00367AF4">
      <w:pPr>
        <w:rPr>
          <w:rFonts w:ascii="Times New Roman" w:hAnsi="Times New Roman" w:cs="Times New Roman"/>
        </w:rPr>
      </w:pPr>
      <w:r>
        <w:rPr>
          <w:rFonts w:ascii="Times New Roman" w:hAnsi="Times New Roman" w:cs="Times New Roman"/>
        </w:rPr>
        <w:t>Importantly, this framework also incorporates a key feasibility consideration raised in prior feedback: the use of transfer learning vs. training from scratch. Given dataset size limitations and the need for robust generalization, transfer learning using pretrained CNN architectures (i.e., ResNet or DenseNet) will serve as the primary modeling approach, while a custom CNN will be used as a baseline for comparison. This decision directly influences evaluation expectations, training efficiency, and model performance.</w:t>
      </w:r>
    </w:p>
    <w:p w14:paraId="4EBC150B" w14:textId="5DF2A0E8" w:rsidR="00367AF4" w:rsidRDefault="00367AF4">
      <w:pPr>
        <w:rPr>
          <w:rFonts w:ascii="Times New Roman" w:hAnsi="Times New Roman" w:cs="Times New Roman"/>
          <w:b/>
          <w:bCs/>
          <w:sz w:val="28"/>
          <w:szCs w:val="28"/>
        </w:rPr>
      </w:pPr>
      <w:r>
        <w:rPr>
          <w:rFonts w:ascii="Times New Roman" w:hAnsi="Times New Roman" w:cs="Times New Roman"/>
          <w:b/>
          <w:bCs/>
          <w:sz w:val="28"/>
          <w:szCs w:val="28"/>
        </w:rPr>
        <w:t>Success Criteria</w:t>
      </w:r>
    </w:p>
    <w:p w14:paraId="53F25495" w14:textId="1714ECA9" w:rsidR="00A64164" w:rsidRDefault="00A64164">
      <w:pPr>
        <w:rPr>
          <w:rFonts w:ascii="Times New Roman" w:hAnsi="Times New Roman" w:cs="Times New Roman"/>
        </w:rPr>
      </w:pPr>
      <w:r>
        <w:rPr>
          <w:rFonts w:ascii="Times New Roman" w:hAnsi="Times New Roman" w:cs="Times New Roman"/>
        </w:rPr>
        <w:t>Success for MedScanAssist is defined across three dimensions, technical performance, clinical relevance, and ethical responsibility.</w:t>
      </w:r>
    </w:p>
    <w:p w14:paraId="44BC3D77" w14:textId="4BBA59AA" w:rsidR="00A64164" w:rsidRDefault="00A64164">
      <w:pPr>
        <w:rPr>
          <w:rFonts w:ascii="Times New Roman" w:hAnsi="Times New Roman" w:cs="Times New Roman"/>
        </w:rPr>
      </w:pPr>
      <w:r>
        <w:rPr>
          <w:rFonts w:ascii="Times New Roman" w:hAnsi="Times New Roman" w:cs="Times New Roman"/>
        </w:rPr>
        <w:t>First, the model must achieve clinically meaningful classification performance, particularly high sensitivity (recall) to minimize missed pneumonia cases. In medical contexts, false negatives carry greater risk than false positives, making recall a primary success indicator.</w:t>
      </w:r>
    </w:p>
    <w:p w14:paraId="16DCF8F9" w14:textId="7D137326" w:rsidR="00A64164" w:rsidRDefault="00A64164">
      <w:pPr>
        <w:rPr>
          <w:rFonts w:ascii="Times New Roman" w:hAnsi="Times New Roman" w:cs="Times New Roman"/>
        </w:rPr>
      </w:pPr>
      <w:r>
        <w:rPr>
          <w:rFonts w:ascii="Times New Roman" w:hAnsi="Times New Roman" w:cs="Times New Roman"/>
        </w:rPr>
        <w:t>Second, the system must demonstrate robust generalization across validation datasets, including cross-validation and, where possible, external datasets. This ensures that the model is not overfitting to a single dataset and can perform reliably in varied clinical environments.</w:t>
      </w:r>
    </w:p>
    <w:p w14:paraId="124DEC0C" w14:textId="74BADA92" w:rsidR="00A64164" w:rsidRDefault="00A64164">
      <w:pPr>
        <w:rPr>
          <w:rFonts w:ascii="Times New Roman" w:hAnsi="Times New Roman" w:cs="Times New Roman"/>
        </w:rPr>
      </w:pPr>
      <w:r>
        <w:rPr>
          <w:rFonts w:ascii="Times New Roman" w:hAnsi="Times New Roman" w:cs="Times New Roman"/>
        </w:rPr>
        <w:t>Third, the system must maintain interpretability and usability. The integration of Grad-CAM visualizations and probability outputs ensures that clinicians can understand and validate model predictions, reinforcing its role as a decision-support tool rather than an autonomous system.</w:t>
      </w:r>
    </w:p>
    <w:p w14:paraId="6B5D0151" w14:textId="1BF37A10" w:rsidR="00A64164" w:rsidRDefault="00A64164">
      <w:pPr>
        <w:rPr>
          <w:rFonts w:ascii="Times New Roman" w:hAnsi="Times New Roman" w:cs="Times New Roman"/>
        </w:rPr>
      </w:pPr>
      <w:r>
        <w:rPr>
          <w:rFonts w:ascii="Times New Roman" w:hAnsi="Times New Roman" w:cs="Times New Roman"/>
        </w:rPr>
        <w:t>Finally, success includes ethical alignment, ensuring fairness across populations, transparency in outputs, and safe integration into clinical workflows.</w:t>
      </w:r>
    </w:p>
    <w:p w14:paraId="61C8A2FE" w14:textId="234EF34D" w:rsidR="00A64164" w:rsidRDefault="00A64164">
      <w:pPr>
        <w:rPr>
          <w:rFonts w:ascii="Times New Roman" w:hAnsi="Times New Roman" w:cs="Times New Roman"/>
          <w:b/>
          <w:bCs/>
          <w:sz w:val="28"/>
          <w:szCs w:val="28"/>
        </w:rPr>
      </w:pPr>
      <w:r>
        <w:rPr>
          <w:rFonts w:ascii="Times New Roman" w:hAnsi="Times New Roman" w:cs="Times New Roman"/>
          <w:b/>
          <w:bCs/>
          <w:sz w:val="28"/>
          <w:szCs w:val="28"/>
        </w:rPr>
        <w:t>Evaluation Metrics</w:t>
      </w:r>
    </w:p>
    <w:p w14:paraId="5ECABA01" w14:textId="15B4E82E" w:rsidR="00A64164" w:rsidRDefault="00A64164">
      <w:pPr>
        <w:rPr>
          <w:rFonts w:ascii="Times New Roman" w:hAnsi="Times New Roman" w:cs="Times New Roman"/>
        </w:rPr>
      </w:pPr>
      <w:r>
        <w:rPr>
          <w:rFonts w:ascii="Times New Roman" w:hAnsi="Times New Roman" w:cs="Times New Roman"/>
        </w:rPr>
        <w:t>To assess system performance holistically, four key conceptual metrics are defined: reliability, fairness, transparency, and usability.</w:t>
      </w:r>
    </w:p>
    <w:p w14:paraId="0B81C9B5" w14:textId="4ECDFA2B" w:rsidR="00A64164" w:rsidRPr="00A64164" w:rsidRDefault="00A64164" w:rsidP="00A64164">
      <w:pPr>
        <w:pStyle w:val="ListParagraph"/>
        <w:numPr>
          <w:ilvl w:val="0"/>
          <w:numId w:val="1"/>
        </w:numPr>
        <w:rPr>
          <w:rFonts w:ascii="Times New Roman" w:hAnsi="Times New Roman" w:cs="Times New Roman"/>
        </w:rPr>
      </w:pPr>
      <w:r>
        <w:rPr>
          <w:rFonts w:ascii="Times New Roman" w:hAnsi="Times New Roman" w:cs="Times New Roman"/>
          <w:b/>
          <w:bCs/>
        </w:rPr>
        <w:t>Reliability (Performance &amp; Robustness)</w:t>
      </w:r>
    </w:p>
    <w:p w14:paraId="46D5BACC" w14:textId="5886A6B6" w:rsidR="00A64164" w:rsidRDefault="00A64164" w:rsidP="00A64164">
      <w:pPr>
        <w:ind w:left="720"/>
        <w:rPr>
          <w:rFonts w:ascii="Times New Roman" w:hAnsi="Times New Roman" w:cs="Times New Roman"/>
        </w:rPr>
      </w:pPr>
      <w:r>
        <w:rPr>
          <w:rFonts w:ascii="Times New Roman" w:hAnsi="Times New Roman" w:cs="Times New Roman"/>
        </w:rPr>
        <w:t xml:space="preserve">Reliability refers to the model’s ability to produce accurate and consistent predictions across different datasets and conditions. This includes traditional classification metrics </w:t>
      </w:r>
      <w:r>
        <w:rPr>
          <w:rFonts w:ascii="Times New Roman" w:hAnsi="Times New Roman" w:cs="Times New Roman"/>
        </w:rPr>
        <w:lastRenderedPageBreak/>
        <w:t>such as sensitivity, specificity, precision, F1-score, and ROC-AUC. Sensitivity is prioritized due to the clinical importance of detecting pneumonia cases.</w:t>
      </w:r>
    </w:p>
    <w:p w14:paraId="32FB3249" w14:textId="42792F94" w:rsidR="00A64164" w:rsidRPr="00A64164" w:rsidRDefault="00A64164" w:rsidP="00A64164">
      <w:pPr>
        <w:pStyle w:val="ListParagraph"/>
        <w:numPr>
          <w:ilvl w:val="0"/>
          <w:numId w:val="1"/>
        </w:numPr>
        <w:rPr>
          <w:rFonts w:ascii="Times New Roman" w:hAnsi="Times New Roman" w:cs="Times New Roman"/>
        </w:rPr>
      </w:pPr>
      <w:r>
        <w:rPr>
          <w:rFonts w:ascii="Times New Roman" w:hAnsi="Times New Roman" w:cs="Times New Roman"/>
          <w:b/>
          <w:bCs/>
        </w:rPr>
        <w:t>Fairness (Equitable Performance Across Groups)</w:t>
      </w:r>
    </w:p>
    <w:p w14:paraId="64531762" w14:textId="42DB5FD4" w:rsidR="00A64164" w:rsidRDefault="00A64164" w:rsidP="00A64164">
      <w:pPr>
        <w:pStyle w:val="ListParagraph"/>
        <w:rPr>
          <w:rFonts w:ascii="Times New Roman" w:hAnsi="Times New Roman" w:cs="Times New Roman"/>
        </w:rPr>
      </w:pPr>
      <w:r>
        <w:rPr>
          <w:rFonts w:ascii="Times New Roman" w:hAnsi="Times New Roman" w:cs="Times New Roman"/>
        </w:rPr>
        <w:t>Fairness evaluates whether the model performs consistently across different demographic or institutional subgroups. Given known biases in medical datasets, fairness ensures that no group is disproportionately affected by model errors (Ghassemi et al., 2021).</w:t>
      </w:r>
    </w:p>
    <w:p w14:paraId="4B911D5F" w14:textId="77777777" w:rsidR="00A64164" w:rsidRDefault="00A64164" w:rsidP="00A64164">
      <w:pPr>
        <w:pStyle w:val="ListParagraph"/>
        <w:rPr>
          <w:rFonts w:ascii="Times New Roman" w:hAnsi="Times New Roman" w:cs="Times New Roman"/>
        </w:rPr>
      </w:pPr>
    </w:p>
    <w:p w14:paraId="6FB02F49" w14:textId="71B169E4" w:rsidR="00A64164" w:rsidRPr="00A64164" w:rsidRDefault="00A64164" w:rsidP="00A64164">
      <w:pPr>
        <w:pStyle w:val="ListParagraph"/>
        <w:numPr>
          <w:ilvl w:val="0"/>
          <w:numId w:val="1"/>
        </w:numPr>
        <w:spacing w:line="360" w:lineRule="auto"/>
        <w:rPr>
          <w:rFonts w:ascii="Times New Roman" w:hAnsi="Times New Roman" w:cs="Times New Roman"/>
        </w:rPr>
      </w:pPr>
      <w:r>
        <w:rPr>
          <w:rFonts w:ascii="Times New Roman" w:hAnsi="Times New Roman" w:cs="Times New Roman"/>
          <w:b/>
          <w:bCs/>
        </w:rPr>
        <w:t>Transparency (Explainability and Interpretability)</w:t>
      </w:r>
    </w:p>
    <w:p w14:paraId="0CBFEA25" w14:textId="467D19E3" w:rsidR="00A64164" w:rsidRDefault="00A64164" w:rsidP="00A64164">
      <w:pPr>
        <w:pStyle w:val="ListParagraph"/>
        <w:rPr>
          <w:rFonts w:ascii="Times New Roman" w:hAnsi="Times New Roman" w:cs="Times New Roman"/>
        </w:rPr>
      </w:pPr>
      <w:r>
        <w:rPr>
          <w:rFonts w:ascii="Times New Roman" w:hAnsi="Times New Roman" w:cs="Times New Roman"/>
        </w:rPr>
        <w:t>Transparency measures the extent to which stakeholders can understand model predictions. In MedScanAssist, this is addressed through Grad-CAM visualizations and probability-based outputs rather than binary classifications.</w:t>
      </w:r>
    </w:p>
    <w:p w14:paraId="2ADB9287" w14:textId="77777777" w:rsidR="00A64164" w:rsidRDefault="00A64164" w:rsidP="00A64164">
      <w:pPr>
        <w:pStyle w:val="ListParagraph"/>
        <w:rPr>
          <w:rFonts w:ascii="Times New Roman" w:hAnsi="Times New Roman" w:cs="Times New Roman"/>
        </w:rPr>
      </w:pPr>
    </w:p>
    <w:p w14:paraId="481D4766" w14:textId="4875E41F" w:rsidR="00A64164" w:rsidRPr="00A64164" w:rsidRDefault="00A64164" w:rsidP="00A64164">
      <w:pPr>
        <w:pStyle w:val="ListParagraph"/>
        <w:numPr>
          <w:ilvl w:val="0"/>
          <w:numId w:val="1"/>
        </w:numPr>
        <w:spacing w:line="360" w:lineRule="auto"/>
        <w:rPr>
          <w:rFonts w:ascii="Times New Roman" w:hAnsi="Times New Roman" w:cs="Times New Roman"/>
        </w:rPr>
      </w:pPr>
      <w:r>
        <w:rPr>
          <w:rFonts w:ascii="Times New Roman" w:hAnsi="Times New Roman" w:cs="Times New Roman"/>
          <w:b/>
          <w:bCs/>
        </w:rPr>
        <w:t>Usability (Clinical Integration and Decision Support Value)</w:t>
      </w:r>
    </w:p>
    <w:p w14:paraId="141DCAE7" w14:textId="16A6E6DD" w:rsidR="00A64164" w:rsidRDefault="00A64164" w:rsidP="007C3C2A">
      <w:pPr>
        <w:pStyle w:val="ListParagraph"/>
        <w:rPr>
          <w:rFonts w:ascii="Times New Roman" w:hAnsi="Times New Roman" w:cs="Times New Roman"/>
        </w:rPr>
      </w:pPr>
      <w:r>
        <w:rPr>
          <w:rFonts w:ascii="Times New Roman" w:hAnsi="Times New Roman" w:cs="Times New Roman"/>
        </w:rPr>
        <w:t>Usability evaluates how effectively clinicians can interact with and benefit from the system. This includes clarity of outputs, ease of interpretation, and alignment with clinical workflows.</w:t>
      </w:r>
    </w:p>
    <w:p w14:paraId="0D549C35" w14:textId="5F133CD7" w:rsidR="00A64164" w:rsidRDefault="00A64164" w:rsidP="00A64164">
      <w:pPr>
        <w:rPr>
          <w:rFonts w:ascii="Times New Roman" w:hAnsi="Times New Roman" w:cs="Times New Roman"/>
          <w:b/>
          <w:bCs/>
          <w:sz w:val="28"/>
          <w:szCs w:val="28"/>
        </w:rPr>
      </w:pPr>
      <w:r>
        <w:rPr>
          <w:rFonts w:ascii="Times New Roman" w:hAnsi="Times New Roman" w:cs="Times New Roman"/>
          <w:b/>
          <w:bCs/>
          <w:sz w:val="28"/>
          <w:szCs w:val="28"/>
        </w:rPr>
        <w:t>Assessment Methods</w:t>
      </w:r>
    </w:p>
    <w:p w14:paraId="49BB703B" w14:textId="3522F4BC" w:rsidR="00A64164" w:rsidRDefault="00A64164" w:rsidP="00A64164">
      <w:pPr>
        <w:rPr>
          <w:rFonts w:ascii="Times New Roman" w:hAnsi="Times New Roman" w:cs="Times New Roman"/>
        </w:rPr>
      </w:pPr>
      <w:r>
        <w:rPr>
          <w:rFonts w:ascii="Times New Roman" w:hAnsi="Times New Roman" w:cs="Times New Roman"/>
        </w:rPr>
        <w:t>Each metric will be evaluated using conceptual and methodological approaches aligned with best practices in medical AI.</w:t>
      </w:r>
    </w:p>
    <w:p w14:paraId="2353084D" w14:textId="6E62AC34" w:rsidR="00A64164" w:rsidRDefault="00A64164" w:rsidP="00A64164">
      <w:pPr>
        <w:rPr>
          <w:rFonts w:ascii="Times New Roman" w:hAnsi="Times New Roman" w:cs="Times New Roman"/>
        </w:rPr>
      </w:pPr>
      <w:r>
        <w:rPr>
          <w:rFonts w:ascii="Times New Roman" w:hAnsi="Times New Roman" w:cs="Times New Roman"/>
        </w:rPr>
        <w:t>Reliability will be assessed using k-fold cross-validation, confusion matrix analysis, and ROC curve evaluation. Threshold calibration will also be performed to optimize sensitivity while maintaining acceptable specificity.</w:t>
      </w:r>
    </w:p>
    <w:p w14:paraId="5EB6E6BD" w14:textId="46174746" w:rsidR="00A64164" w:rsidRDefault="00A64164" w:rsidP="00A64164">
      <w:pPr>
        <w:rPr>
          <w:rFonts w:ascii="Times New Roman" w:hAnsi="Times New Roman" w:cs="Times New Roman"/>
        </w:rPr>
      </w:pPr>
      <w:r>
        <w:rPr>
          <w:rFonts w:ascii="Times New Roman" w:hAnsi="Times New Roman" w:cs="Times New Roman"/>
        </w:rPr>
        <w:t>Fairness will be evaluated through subgroup performance analysis, comparing metrics across demographic variables (when available) and dataset sources. This helps identify disparities caused by dataset bias or domain shift.</w:t>
      </w:r>
    </w:p>
    <w:p w14:paraId="19E885D8" w14:textId="4249D810" w:rsidR="00A64164" w:rsidRDefault="00A64164" w:rsidP="00A64164">
      <w:pPr>
        <w:rPr>
          <w:rFonts w:ascii="Times New Roman" w:hAnsi="Times New Roman" w:cs="Times New Roman"/>
        </w:rPr>
      </w:pPr>
      <w:r>
        <w:rPr>
          <w:rFonts w:ascii="Times New Roman" w:hAnsi="Times New Roman" w:cs="Times New Roman"/>
        </w:rPr>
        <w:t>Transparency will be assessed qualitatively by reviewing Grad-CAM outputs to ensure that highlighted regions correspond to clinically relevant lung features. Additionally, stakeholder interpretability will be evaluated based on how easily clinicians can understand prediction outputs.</w:t>
      </w:r>
    </w:p>
    <w:p w14:paraId="5A570AD2" w14:textId="076DB434" w:rsidR="00A64164" w:rsidRDefault="00A64164" w:rsidP="00A64164">
      <w:pPr>
        <w:rPr>
          <w:rFonts w:ascii="Times New Roman" w:hAnsi="Times New Roman" w:cs="Times New Roman"/>
        </w:rPr>
      </w:pPr>
      <w:r>
        <w:rPr>
          <w:rFonts w:ascii="Times New Roman" w:hAnsi="Times New Roman" w:cs="Times New Roman"/>
        </w:rPr>
        <w:t>Usability will be assessed through scenario-based evaluation, simulating how clinicians interact with the system. This includes reviewing whether outputs (probability scores, heatmaps) support decision-making without causing confusion or overreliance.</w:t>
      </w:r>
    </w:p>
    <w:p w14:paraId="38E49B90" w14:textId="00C8FD6C" w:rsidR="00A64164" w:rsidRDefault="00A64164" w:rsidP="00A64164">
      <w:pPr>
        <w:rPr>
          <w:rFonts w:ascii="Times New Roman" w:hAnsi="Times New Roman" w:cs="Times New Roman"/>
          <w:b/>
          <w:bCs/>
          <w:sz w:val="28"/>
          <w:szCs w:val="28"/>
        </w:rPr>
      </w:pPr>
      <w:r>
        <w:rPr>
          <w:rFonts w:ascii="Times New Roman" w:hAnsi="Times New Roman" w:cs="Times New Roman"/>
          <w:b/>
          <w:bCs/>
          <w:sz w:val="28"/>
          <w:szCs w:val="28"/>
        </w:rPr>
        <w:t>Data Quality Considerations</w:t>
      </w:r>
    </w:p>
    <w:p w14:paraId="008DA505" w14:textId="7849F24B" w:rsidR="00A64164" w:rsidRDefault="00A64164" w:rsidP="00A64164">
      <w:pPr>
        <w:rPr>
          <w:rFonts w:ascii="Times New Roman" w:hAnsi="Times New Roman" w:cs="Times New Roman"/>
        </w:rPr>
      </w:pPr>
      <w:r>
        <w:rPr>
          <w:rFonts w:ascii="Times New Roman" w:hAnsi="Times New Roman" w:cs="Times New Roman"/>
        </w:rPr>
        <w:lastRenderedPageBreak/>
        <w:t>Data quality plays a critical role in model evaluation and overall system reliability. Medical imaging datasets often contain limitations such as class imbalance, demographic bias, and domain variability across institutions.</w:t>
      </w:r>
    </w:p>
    <w:p w14:paraId="24629090" w14:textId="503CC61C" w:rsidR="00A64164" w:rsidRDefault="00A64164" w:rsidP="00A64164">
      <w:pPr>
        <w:rPr>
          <w:rFonts w:ascii="Times New Roman" w:hAnsi="Times New Roman" w:cs="Times New Roman"/>
        </w:rPr>
      </w:pPr>
      <w:r>
        <w:rPr>
          <w:rFonts w:ascii="Times New Roman" w:hAnsi="Times New Roman" w:cs="Times New Roman"/>
        </w:rPr>
        <w:t>Class imbalance can skew evaluation metrics, making accuracy misleading. This will be addressed through weighted loss functions and evaluation metrics such as F1-score and ROC-AUC.</w:t>
      </w:r>
    </w:p>
    <w:p w14:paraId="111CC90E" w14:textId="10259957" w:rsidR="00A64164" w:rsidRDefault="00A64164" w:rsidP="00A64164">
      <w:pPr>
        <w:rPr>
          <w:rFonts w:ascii="Times New Roman" w:hAnsi="Times New Roman" w:cs="Times New Roman"/>
        </w:rPr>
      </w:pPr>
      <w:r>
        <w:rPr>
          <w:rFonts w:ascii="Times New Roman" w:hAnsi="Times New Roman" w:cs="Times New Roman"/>
        </w:rPr>
        <w:t>Dataset bias may result in uneven performance across populations. Limited demographic diversity in datasets such as NIH ChestX-ray14 may affect generalizability, necessitating subgroup evaluation and fairness auditing.</w:t>
      </w:r>
    </w:p>
    <w:p w14:paraId="5F027DFE" w14:textId="02B93BB0" w:rsidR="00A64164" w:rsidRDefault="00A64164" w:rsidP="00A64164">
      <w:pPr>
        <w:rPr>
          <w:rFonts w:ascii="Times New Roman" w:hAnsi="Times New Roman" w:cs="Times New Roman"/>
        </w:rPr>
      </w:pPr>
      <w:r>
        <w:rPr>
          <w:rFonts w:ascii="Times New Roman" w:hAnsi="Times New Roman" w:cs="Times New Roman"/>
        </w:rPr>
        <w:t>Domain shift is another significant concern, as imaging conditions vary across hospitals. Models trained on one dataset may not generalize well to others, making cross-validation and external testing essential.</w:t>
      </w:r>
    </w:p>
    <w:p w14:paraId="01A10A55" w14:textId="4ABE73CF" w:rsidR="00A64164" w:rsidRDefault="00A64164" w:rsidP="00A64164">
      <w:pPr>
        <w:rPr>
          <w:rFonts w:ascii="Times New Roman" w:hAnsi="Times New Roman" w:cs="Times New Roman"/>
        </w:rPr>
      </w:pPr>
      <w:r>
        <w:rPr>
          <w:rFonts w:ascii="Times New Roman" w:hAnsi="Times New Roman" w:cs="Times New Roman"/>
        </w:rPr>
        <w:t>Finally, labeling inconsistencies in public datasets may introduce noise, affecting both training and evaluation. Careful preprocessing and validation strategies are required to mitigate these risks.</w:t>
      </w:r>
    </w:p>
    <w:p w14:paraId="591EDD83" w14:textId="3BDA2D0C" w:rsidR="00A64164" w:rsidRDefault="007C3C2A" w:rsidP="00A64164">
      <w:pPr>
        <w:rPr>
          <w:rFonts w:ascii="Times New Roman" w:hAnsi="Times New Roman" w:cs="Times New Roman"/>
          <w:sz w:val="28"/>
          <w:szCs w:val="28"/>
        </w:rPr>
      </w:pPr>
      <w:r w:rsidRPr="007C3C2A">
        <w:rPr>
          <w:rFonts w:ascii="Times New Roman" w:hAnsi="Times New Roman" w:cs="Times New Roman"/>
          <w:b/>
          <w:bCs/>
          <w:sz w:val="28"/>
          <w:szCs w:val="28"/>
        </w:rPr>
        <w:t>Risk-</w:t>
      </w:r>
      <w:r>
        <w:rPr>
          <w:rFonts w:ascii="Times New Roman" w:hAnsi="Times New Roman" w:cs="Times New Roman"/>
          <w:b/>
          <w:bCs/>
          <w:sz w:val="28"/>
          <w:szCs w:val="28"/>
        </w:rPr>
        <w:t>Mitigation Mapping</w:t>
      </w:r>
    </w:p>
    <w:p w14:paraId="3E38543B" w14:textId="6E4E4CD7" w:rsidR="007C3C2A" w:rsidRDefault="007C3C2A" w:rsidP="00A64164">
      <w:pPr>
        <w:rPr>
          <w:rFonts w:ascii="Times New Roman" w:hAnsi="Times New Roman" w:cs="Times New Roman"/>
        </w:rPr>
      </w:pPr>
      <w:r>
        <w:rPr>
          <w:rFonts w:ascii="Times New Roman" w:hAnsi="Times New Roman" w:cs="Times New Roman"/>
        </w:rPr>
        <w:t>The evaluation framework aligns with the NIST AI Risk Management Framework (AI RMF), which emphasizes identifying, assessing, and mitigating risks throughout the AI lifecycle (NIST, 2023).</w:t>
      </w:r>
    </w:p>
    <w:p w14:paraId="4BF348E6" w14:textId="3E49605C" w:rsidR="007C3C2A" w:rsidRDefault="007C3C2A" w:rsidP="00A64164">
      <w:pPr>
        <w:rPr>
          <w:rFonts w:ascii="Times New Roman" w:hAnsi="Times New Roman" w:cs="Times New Roman"/>
          <w:b/>
          <w:bCs/>
        </w:rPr>
      </w:pPr>
      <w:r>
        <w:rPr>
          <w:rFonts w:ascii="Times New Roman" w:hAnsi="Times New Roman" w:cs="Times New Roman"/>
          <w:b/>
          <w:bCs/>
        </w:rPr>
        <w:t>Risk 1: False Negatives (Missed Diagnoses)</w:t>
      </w:r>
    </w:p>
    <w:p w14:paraId="1B24D682" w14:textId="1141E44C" w:rsidR="007C3C2A" w:rsidRDefault="007C3C2A" w:rsidP="00A64164">
      <w:pPr>
        <w:rPr>
          <w:rFonts w:ascii="Times New Roman" w:hAnsi="Times New Roman" w:cs="Times New Roman"/>
        </w:rPr>
      </w:pPr>
      <w:r>
        <w:rPr>
          <w:rFonts w:ascii="Times New Roman" w:hAnsi="Times New Roman" w:cs="Times New Roman"/>
        </w:rPr>
        <w:t>False negatives represent a critical clinical risk, as missed pneumonia cases can delay treatment and worsen patient outcomes.</w:t>
      </w:r>
    </w:p>
    <w:p w14:paraId="52CF0DBC" w14:textId="19FFC3A8" w:rsidR="007C3C2A" w:rsidRDefault="007C3C2A" w:rsidP="00A64164">
      <w:pPr>
        <w:rPr>
          <w:rFonts w:ascii="Times New Roman" w:hAnsi="Times New Roman" w:cs="Times New Roman"/>
          <w:b/>
          <w:bCs/>
        </w:rPr>
      </w:pPr>
      <w:r>
        <w:rPr>
          <w:rFonts w:ascii="Times New Roman" w:hAnsi="Times New Roman" w:cs="Times New Roman"/>
          <w:b/>
          <w:bCs/>
        </w:rPr>
        <w:t>Mitigation Strategy:</w:t>
      </w:r>
    </w:p>
    <w:p w14:paraId="54E07A3F" w14:textId="2E4B59C7" w:rsidR="007C3C2A" w:rsidRDefault="007C3C2A" w:rsidP="00A64164">
      <w:pPr>
        <w:rPr>
          <w:rFonts w:ascii="Times New Roman" w:hAnsi="Times New Roman" w:cs="Times New Roman"/>
        </w:rPr>
      </w:pPr>
      <w:r>
        <w:rPr>
          <w:rFonts w:ascii="Times New Roman" w:hAnsi="Times New Roman" w:cs="Times New Roman"/>
        </w:rPr>
        <w:t>Threshold calibration will prioritize sensitivity, ensuring that the model minimizes false negatives. This aligns with the “Manage” function of the NIST AI RMF by actively reducing high-impact risks.</w:t>
      </w:r>
    </w:p>
    <w:p w14:paraId="2B499CF4" w14:textId="26543FEB" w:rsidR="007C3C2A" w:rsidRDefault="007C3C2A" w:rsidP="00A64164">
      <w:pPr>
        <w:rPr>
          <w:rFonts w:ascii="Times New Roman" w:hAnsi="Times New Roman" w:cs="Times New Roman"/>
          <w:b/>
          <w:bCs/>
        </w:rPr>
      </w:pPr>
      <w:r>
        <w:rPr>
          <w:rFonts w:ascii="Times New Roman" w:hAnsi="Times New Roman" w:cs="Times New Roman"/>
          <w:b/>
          <w:bCs/>
        </w:rPr>
        <w:t>Risk 2: Dataset Bias and Fairness Issues</w:t>
      </w:r>
    </w:p>
    <w:p w14:paraId="644D2BC0" w14:textId="0838A473" w:rsidR="007C3C2A" w:rsidRDefault="007C3C2A" w:rsidP="00A64164">
      <w:pPr>
        <w:rPr>
          <w:rFonts w:ascii="Times New Roman" w:hAnsi="Times New Roman" w:cs="Times New Roman"/>
        </w:rPr>
      </w:pPr>
      <w:r>
        <w:rPr>
          <w:rFonts w:ascii="Times New Roman" w:hAnsi="Times New Roman" w:cs="Times New Roman"/>
        </w:rPr>
        <w:t>Bias in training data may lead to unequal performance across demographic groups, reinforcing healthcare disparities.</w:t>
      </w:r>
    </w:p>
    <w:p w14:paraId="063CBA77" w14:textId="4BBD1E25" w:rsidR="007C3C2A" w:rsidRDefault="007C3C2A" w:rsidP="00A64164">
      <w:pPr>
        <w:rPr>
          <w:rFonts w:ascii="Times New Roman" w:hAnsi="Times New Roman" w:cs="Times New Roman"/>
          <w:b/>
          <w:bCs/>
        </w:rPr>
      </w:pPr>
      <w:r>
        <w:rPr>
          <w:rFonts w:ascii="Times New Roman" w:hAnsi="Times New Roman" w:cs="Times New Roman"/>
          <w:b/>
          <w:bCs/>
        </w:rPr>
        <w:t>Mitigation Strategy:</w:t>
      </w:r>
    </w:p>
    <w:p w14:paraId="23082A9C" w14:textId="4D2834E2" w:rsidR="007C3C2A" w:rsidRDefault="007C3C2A" w:rsidP="00A64164">
      <w:pPr>
        <w:rPr>
          <w:rFonts w:ascii="Times New Roman" w:hAnsi="Times New Roman" w:cs="Times New Roman"/>
        </w:rPr>
      </w:pPr>
      <w:r>
        <w:rPr>
          <w:rFonts w:ascii="Times New Roman" w:hAnsi="Times New Roman" w:cs="Times New Roman"/>
        </w:rPr>
        <w:t>Fairness audits and subgroup evaluations will be conducted to identify disparities. Where possible, diverse datasets and domain adaptation techniques will be incorporated. This aligns with the “Map” and “Measure” functions of the NIST AI RMF.</w:t>
      </w:r>
    </w:p>
    <w:p w14:paraId="7C7B795D" w14:textId="2155B622" w:rsidR="007C3C2A" w:rsidRDefault="007C3C2A" w:rsidP="00A64164">
      <w:pPr>
        <w:rPr>
          <w:rFonts w:ascii="Times New Roman" w:hAnsi="Times New Roman" w:cs="Times New Roman"/>
          <w:b/>
          <w:bCs/>
        </w:rPr>
      </w:pPr>
      <w:r>
        <w:rPr>
          <w:rFonts w:ascii="Times New Roman" w:hAnsi="Times New Roman" w:cs="Times New Roman"/>
          <w:b/>
          <w:bCs/>
        </w:rPr>
        <w:lastRenderedPageBreak/>
        <w:t>Risk 3: Overreliance on AI Systems</w:t>
      </w:r>
    </w:p>
    <w:p w14:paraId="57AD9F4B" w14:textId="55716A74" w:rsidR="007C3C2A" w:rsidRDefault="007C3C2A" w:rsidP="00A64164">
      <w:pPr>
        <w:rPr>
          <w:rFonts w:ascii="Times New Roman" w:hAnsi="Times New Roman" w:cs="Times New Roman"/>
        </w:rPr>
      </w:pPr>
      <w:r>
        <w:rPr>
          <w:rFonts w:ascii="Times New Roman" w:hAnsi="Times New Roman" w:cs="Times New Roman"/>
        </w:rPr>
        <w:t>Clinicians may place excessive trust in AI predictions, reducing critical evaluation.</w:t>
      </w:r>
    </w:p>
    <w:p w14:paraId="5B7FDDDC" w14:textId="2AFEBE80" w:rsidR="007C3C2A" w:rsidRDefault="007C3C2A" w:rsidP="00A64164">
      <w:pPr>
        <w:rPr>
          <w:rFonts w:ascii="Times New Roman" w:hAnsi="Times New Roman" w:cs="Times New Roman"/>
          <w:b/>
          <w:bCs/>
        </w:rPr>
      </w:pPr>
      <w:r>
        <w:rPr>
          <w:rFonts w:ascii="Times New Roman" w:hAnsi="Times New Roman" w:cs="Times New Roman"/>
          <w:b/>
          <w:bCs/>
        </w:rPr>
        <w:t>Mitigation Strategy:</w:t>
      </w:r>
    </w:p>
    <w:p w14:paraId="25B204AB" w14:textId="20ADE888" w:rsidR="007C3C2A" w:rsidRDefault="007C3C2A" w:rsidP="00A64164">
      <w:pPr>
        <w:rPr>
          <w:rFonts w:ascii="Times New Roman" w:hAnsi="Times New Roman" w:cs="Times New Roman"/>
        </w:rPr>
      </w:pPr>
      <w:r>
        <w:rPr>
          <w:rFonts w:ascii="Times New Roman" w:hAnsi="Times New Roman" w:cs="Times New Roman"/>
        </w:rPr>
        <w:t>The system will present probability scores and visual explanations rather than definitive outputs, reinforcing its assistive role. Human-in-the-loop design ensures clinicians retain final decision authority.</w:t>
      </w:r>
    </w:p>
    <w:p w14:paraId="57FCA723" w14:textId="45AD38D5" w:rsidR="007C3C2A" w:rsidRDefault="007C3C2A" w:rsidP="00A64164">
      <w:pPr>
        <w:rPr>
          <w:rFonts w:ascii="Times New Roman" w:hAnsi="Times New Roman" w:cs="Times New Roman"/>
          <w:b/>
          <w:bCs/>
          <w:sz w:val="28"/>
          <w:szCs w:val="28"/>
        </w:rPr>
      </w:pPr>
      <w:r>
        <w:rPr>
          <w:rFonts w:ascii="Times New Roman" w:hAnsi="Times New Roman" w:cs="Times New Roman"/>
          <w:b/>
          <w:bCs/>
          <w:sz w:val="28"/>
          <w:szCs w:val="28"/>
        </w:rPr>
        <w:t>Conclusion</w:t>
      </w:r>
    </w:p>
    <w:p w14:paraId="7C51FD25" w14:textId="258A3015" w:rsidR="007C3C2A" w:rsidRDefault="007C3C2A" w:rsidP="00A64164">
      <w:pPr>
        <w:rPr>
          <w:rFonts w:ascii="Times New Roman" w:hAnsi="Times New Roman" w:cs="Times New Roman"/>
        </w:rPr>
      </w:pPr>
      <w:r>
        <w:rPr>
          <w:rFonts w:ascii="Times New Roman" w:hAnsi="Times New Roman" w:cs="Times New Roman"/>
        </w:rPr>
        <w:t>The evaluation framework for MedScanAssist provides a comprehensive approach to assessing system success across technical, clinical, and ethical dimensions. By integrating reliability, fairness, transparency, and usability metrics with structured assessment methods and risk mitigation strategies, this plan ensures that the system is evaluated holistically.</w:t>
      </w:r>
    </w:p>
    <w:p w14:paraId="09657F93" w14:textId="27D2D4BC" w:rsidR="007C3C2A" w:rsidRDefault="007C3C2A" w:rsidP="00A64164">
      <w:pPr>
        <w:rPr>
          <w:rFonts w:ascii="Times New Roman" w:hAnsi="Times New Roman" w:cs="Times New Roman"/>
        </w:rPr>
      </w:pPr>
      <w:r>
        <w:rPr>
          <w:rFonts w:ascii="Times New Roman" w:hAnsi="Times New Roman" w:cs="Times New Roman"/>
        </w:rPr>
        <w:t>Rather than focusing solely on predictive accuracy, this framework emphasizes responsible AI development, aligning with established guidelines such as the NIST AI RMF. Through this approach, MedScanAssist aims to demonstrate not only strong technical performance but also safe, equitable, and interpretable use in clinical decision support.</w:t>
      </w:r>
    </w:p>
    <w:p w14:paraId="1C196995" w14:textId="77777777" w:rsidR="007C3C2A" w:rsidRDefault="007C3C2A" w:rsidP="00A64164">
      <w:pPr>
        <w:rPr>
          <w:rFonts w:ascii="Times New Roman" w:hAnsi="Times New Roman" w:cs="Times New Roman"/>
        </w:rPr>
      </w:pPr>
    </w:p>
    <w:p w14:paraId="2F268F0D" w14:textId="2CEDA3F8" w:rsidR="007C3C2A" w:rsidRDefault="007C3C2A" w:rsidP="00A64164">
      <w:pPr>
        <w:rPr>
          <w:rFonts w:ascii="Times New Roman" w:hAnsi="Times New Roman" w:cs="Times New Roman"/>
          <w:b/>
          <w:bCs/>
          <w:sz w:val="28"/>
          <w:szCs w:val="28"/>
        </w:rPr>
      </w:pPr>
      <w:r>
        <w:rPr>
          <w:rFonts w:ascii="Times New Roman" w:hAnsi="Times New Roman" w:cs="Times New Roman"/>
          <w:b/>
          <w:bCs/>
          <w:sz w:val="28"/>
          <w:szCs w:val="28"/>
        </w:rPr>
        <w:t>References</w:t>
      </w:r>
    </w:p>
    <w:p w14:paraId="1C97C43A" w14:textId="77777777" w:rsidR="007C3C2A" w:rsidRPr="007C3C2A" w:rsidRDefault="007C3C2A" w:rsidP="007C3C2A">
      <w:pPr>
        <w:rPr>
          <w:rFonts w:ascii="Times New Roman" w:hAnsi="Times New Roman" w:cs="Times New Roman"/>
        </w:rPr>
      </w:pPr>
      <w:r w:rsidRPr="007C3C2A">
        <w:rPr>
          <w:rFonts w:ascii="Times New Roman" w:hAnsi="Times New Roman" w:cs="Times New Roman"/>
        </w:rPr>
        <w:t xml:space="preserve">Ghassemi, M., Oakden-Rayner, L., &amp; Beam, A. L. (2021). The false hope of current approaches to explainable artificial intelligence in health care. </w:t>
      </w:r>
      <w:r w:rsidRPr="007C3C2A">
        <w:rPr>
          <w:rFonts w:ascii="Times New Roman" w:hAnsi="Times New Roman" w:cs="Times New Roman"/>
          <w:i/>
          <w:iCs/>
        </w:rPr>
        <w:t>The Lancet Digital Health, 3</w:t>
      </w:r>
      <w:r w:rsidRPr="007C3C2A">
        <w:rPr>
          <w:rFonts w:ascii="Times New Roman" w:hAnsi="Times New Roman" w:cs="Times New Roman"/>
        </w:rPr>
        <w:t>(11), e745–e750.</w:t>
      </w:r>
    </w:p>
    <w:p w14:paraId="054F98DA" w14:textId="77777777" w:rsidR="007C3C2A" w:rsidRPr="007C3C2A" w:rsidRDefault="007C3C2A" w:rsidP="007C3C2A">
      <w:pPr>
        <w:rPr>
          <w:rFonts w:ascii="Times New Roman" w:hAnsi="Times New Roman" w:cs="Times New Roman"/>
        </w:rPr>
      </w:pPr>
      <w:r w:rsidRPr="007C3C2A">
        <w:rPr>
          <w:rFonts w:ascii="Times New Roman" w:hAnsi="Times New Roman" w:cs="Times New Roman"/>
        </w:rPr>
        <w:t xml:space="preserve">Kelly, C. J., </w:t>
      </w:r>
      <w:proofErr w:type="spellStart"/>
      <w:r w:rsidRPr="007C3C2A">
        <w:rPr>
          <w:rFonts w:ascii="Times New Roman" w:hAnsi="Times New Roman" w:cs="Times New Roman"/>
        </w:rPr>
        <w:t>Karthikesalingam</w:t>
      </w:r>
      <w:proofErr w:type="spellEnd"/>
      <w:r w:rsidRPr="007C3C2A">
        <w:rPr>
          <w:rFonts w:ascii="Times New Roman" w:hAnsi="Times New Roman" w:cs="Times New Roman"/>
        </w:rPr>
        <w:t xml:space="preserve">, A., Suleyman, M., Corrado, G., &amp; King, D. (2019). Key challenges for delivering clinical impact with artificial intelligence. </w:t>
      </w:r>
      <w:r w:rsidRPr="007C3C2A">
        <w:rPr>
          <w:rFonts w:ascii="Times New Roman" w:hAnsi="Times New Roman" w:cs="Times New Roman"/>
          <w:i/>
          <w:iCs/>
        </w:rPr>
        <w:t>BMC Medicine, 17</w:t>
      </w:r>
      <w:r w:rsidRPr="007C3C2A">
        <w:rPr>
          <w:rFonts w:ascii="Times New Roman" w:hAnsi="Times New Roman" w:cs="Times New Roman"/>
        </w:rPr>
        <w:t>(1), 195.</w:t>
      </w:r>
    </w:p>
    <w:p w14:paraId="59A78403" w14:textId="77777777" w:rsidR="007C3C2A" w:rsidRPr="007C3C2A" w:rsidRDefault="007C3C2A" w:rsidP="007C3C2A">
      <w:pPr>
        <w:rPr>
          <w:rFonts w:ascii="Times New Roman" w:hAnsi="Times New Roman" w:cs="Times New Roman"/>
        </w:rPr>
      </w:pPr>
      <w:r w:rsidRPr="007C3C2A">
        <w:rPr>
          <w:rFonts w:ascii="Times New Roman" w:hAnsi="Times New Roman" w:cs="Times New Roman"/>
        </w:rPr>
        <w:t xml:space="preserve">National Institute of Standards and Technology (NIST). (2023). </w:t>
      </w:r>
      <w:r w:rsidRPr="007C3C2A">
        <w:rPr>
          <w:rFonts w:ascii="Times New Roman" w:hAnsi="Times New Roman" w:cs="Times New Roman"/>
          <w:i/>
          <w:iCs/>
        </w:rPr>
        <w:t>AI Risk Management Framework (AI RMF 1.0).</w:t>
      </w:r>
    </w:p>
    <w:p w14:paraId="0A80565D" w14:textId="77777777" w:rsidR="007C3C2A" w:rsidRPr="007C3C2A" w:rsidRDefault="007C3C2A" w:rsidP="007C3C2A">
      <w:pPr>
        <w:rPr>
          <w:rFonts w:ascii="Times New Roman" w:hAnsi="Times New Roman" w:cs="Times New Roman"/>
        </w:rPr>
      </w:pPr>
      <w:r w:rsidRPr="007C3C2A">
        <w:rPr>
          <w:rFonts w:ascii="Times New Roman" w:hAnsi="Times New Roman" w:cs="Times New Roman"/>
        </w:rPr>
        <w:t xml:space="preserve">Pan, S. J., &amp; Yang, Q. (2010). A survey on transfer learning. </w:t>
      </w:r>
      <w:r w:rsidRPr="007C3C2A">
        <w:rPr>
          <w:rFonts w:ascii="Times New Roman" w:hAnsi="Times New Roman" w:cs="Times New Roman"/>
          <w:i/>
          <w:iCs/>
        </w:rPr>
        <w:t>IEEE Transactions on Knowledge and Data Engineering, 22</w:t>
      </w:r>
      <w:r w:rsidRPr="007C3C2A">
        <w:rPr>
          <w:rFonts w:ascii="Times New Roman" w:hAnsi="Times New Roman" w:cs="Times New Roman"/>
        </w:rPr>
        <w:t>(10), 1345–1359.</w:t>
      </w:r>
    </w:p>
    <w:p w14:paraId="787DD724" w14:textId="77777777" w:rsidR="007C3C2A" w:rsidRPr="007C3C2A" w:rsidRDefault="007C3C2A" w:rsidP="007C3C2A">
      <w:pPr>
        <w:rPr>
          <w:rFonts w:ascii="Times New Roman" w:hAnsi="Times New Roman" w:cs="Times New Roman"/>
        </w:rPr>
      </w:pPr>
      <w:r w:rsidRPr="007C3C2A">
        <w:rPr>
          <w:rFonts w:ascii="Times New Roman" w:hAnsi="Times New Roman" w:cs="Times New Roman"/>
        </w:rPr>
        <w:t xml:space="preserve">Rajpurkar, P., et al. (2017). CheXNet: Radiologist-level pneumonia detection on chest X-rays with deep learning. </w:t>
      </w:r>
      <w:proofErr w:type="spellStart"/>
      <w:r w:rsidRPr="007C3C2A">
        <w:rPr>
          <w:rFonts w:ascii="Times New Roman" w:hAnsi="Times New Roman" w:cs="Times New Roman"/>
          <w:i/>
          <w:iCs/>
        </w:rPr>
        <w:t>arXiv</w:t>
      </w:r>
      <w:proofErr w:type="spellEnd"/>
      <w:r w:rsidRPr="007C3C2A">
        <w:rPr>
          <w:rFonts w:ascii="Times New Roman" w:hAnsi="Times New Roman" w:cs="Times New Roman"/>
          <w:i/>
          <w:iCs/>
        </w:rPr>
        <w:t xml:space="preserve"> preprint arXiv:1711.05225.</w:t>
      </w:r>
    </w:p>
    <w:p w14:paraId="38C8ED66" w14:textId="77777777" w:rsidR="007C3C2A" w:rsidRPr="007C3C2A" w:rsidRDefault="007C3C2A" w:rsidP="00A64164">
      <w:pPr>
        <w:rPr>
          <w:rFonts w:ascii="Times New Roman" w:hAnsi="Times New Roman" w:cs="Times New Roman"/>
        </w:rPr>
      </w:pPr>
    </w:p>
    <w:sectPr w:rsidR="007C3C2A" w:rsidRPr="007C3C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064E8"/>
    <w:multiLevelType w:val="hybridMultilevel"/>
    <w:tmpl w:val="DF1CBE2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51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AF4"/>
    <w:rsid w:val="00006908"/>
    <w:rsid w:val="000658A1"/>
    <w:rsid w:val="00367AF4"/>
    <w:rsid w:val="007C3C2A"/>
    <w:rsid w:val="00A64164"/>
    <w:rsid w:val="00B130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FEF77"/>
  <w15:chartTrackingRefBased/>
  <w15:docId w15:val="{E840D9B4-0979-4BFD-BAFB-30F042195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AF4"/>
  </w:style>
  <w:style w:type="paragraph" w:styleId="Heading1">
    <w:name w:val="heading 1"/>
    <w:basedOn w:val="Normal"/>
    <w:next w:val="Normal"/>
    <w:link w:val="Heading1Char"/>
    <w:uiPriority w:val="9"/>
    <w:qFormat/>
    <w:rsid w:val="00367A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7A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7A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7A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7A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7A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A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A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A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A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7A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7A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7A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7A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7A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A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A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AF4"/>
    <w:rPr>
      <w:rFonts w:eastAsiaTheme="majorEastAsia" w:cstheme="majorBidi"/>
      <w:color w:val="272727" w:themeColor="text1" w:themeTint="D8"/>
    </w:rPr>
  </w:style>
  <w:style w:type="paragraph" w:styleId="Title">
    <w:name w:val="Title"/>
    <w:basedOn w:val="Normal"/>
    <w:next w:val="Normal"/>
    <w:link w:val="TitleChar"/>
    <w:uiPriority w:val="10"/>
    <w:qFormat/>
    <w:rsid w:val="00367A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A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A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A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AF4"/>
    <w:pPr>
      <w:spacing w:before="160"/>
      <w:jc w:val="center"/>
    </w:pPr>
    <w:rPr>
      <w:i/>
      <w:iCs/>
      <w:color w:val="404040" w:themeColor="text1" w:themeTint="BF"/>
    </w:rPr>
  </w:style>
  <w:style w:type="character" w:customStyle="1" w:styleId="QuoteChar">
    <w:name w:val="Quote Char"/>
    <w:basedOn w:val="DefaultParagraphFont"/>
    <w:link w:val="Quote"/>
    <w:uiPriority w:val="29"/>
    <w:rsid w:val="00367AF4"/>
    <w:rPr>
      <w:i/>
      <w:iCs/>
      <w:color w:val="404040" w:themeColor="text1" w:themeTint="BF"/>
    </w:rPr>
  </w:style>
  <w:style w:type="paragraph" w:styleId="ListParagraph">
    <w:name w:val="List Paragraph"/>
    <w:basedOn w:val="Normal"/>
    <w:uiPriority w:val="34"/>
    <w:qFormat/>
    <w:rsid w:val="00367AF4"/>
    <w:pPr>
      <w:ind w:left="720"/>
      <w:contextualSpacing/>
    </w:pPr>
  </w:style>
  <w:style w:type="character" w:styleId="IntenseEmphasis">
    <w:name w:val="Intense Emphasis"/>
    <w:basedOn w:val="DefaultParagraphFont"/>
    <w:uiPriority w:val="21"/>
    <w:qFormat/>
    <w:rsid w:val="00367AF4"/>
    <w:rPr>
      <w:i/>
      <w:iCs/>
      <w:color w:val="0F4761" w:themeColor="accent1" w:themeShade="BF"/>
    </w:rPr>
  </w:style>
  <w:style w:type="paragraph" w:styleId="IntenseQuote">
    <w:name w:val="Intense Quote"/>
    <w:basedOn w:val="Normal"/>
    <w:next w:val="Normal"/>
    <w:link w:val="IntenseQuoteChar"/>
    <w:uiPriority w:val="30"/>
    <w:qFormat/>
    <w:rsid w:val="00367A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7AF4"/>
    <w:rPr>
      <w:i/>
      <w:iCs/>
      <w:color w:val="0F4761" w:themeColor="accent1" w:themeShade="BF"/>
    </w:rPr>
  </w:style>
  <w:style w:type="character" w:styleId="IntenseReference">
    <w:name w:val="Intense Reference"/>
    <w:basedOn w:val="DefaultParagraphFont"/>
    <w:uiPriority w:val="32"/>
    <w:qFormat/>
    <w:rsid w:val="00367A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5</Pages>
  <Words>1325</Words>
  <Characters>7555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McKeigue</dc:creator>
  <cp:keywords/>
  <dc:description/>
  <cp:lastModifiedBy>Jackson McKeigue</cp:lastModifiedBy>
  <cp:revision>1</cp:revision>
  <dcterms:created xsi:type="dcterms:W3CDTF">2026-04-08T14:16:00Z</dcterms:created>
  <dcterms:modified xsi:type="dcterms:W3CDTF">2026-04-08T14:48:00Z</dcterms:modified>
</cp:coreProperties>
</file>