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E2D0" w14:textId="77777777" w:rsidR="00E63AF6" w:rsidRPr="00E63AF6" w:rsidRDefault="00E63AF6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E63AF6">
        <w:rPr>
          <w:rFonts w:ascii="Arial" w:hAnsi="Arial" w:cs="Arial"/>
          <w:b/>
          <w:bCs/>
          <w:sz w:val="20"/>
          <w:szCs w:val="20"/>
        </w:rPr>
        <w:t>UK Biobank data-field IDs</w:t>
      </w:r>
      <w:r w:rsidRPr="00E63AF6">
        <w:rPr>
          <w:rFonts w:ascii="Arial" w:hAnsi="Arial" w:cs="Arial"/>
          <w:b/>
          <w:bCs/>
          <w:sz w:val="20"/>
          <w:szCs w:val="20"/>
        </w:rPr>
        <w:t xml:space="preserve">. </w:t>
      </w:r>
      <w:r w:rsidRPr="00E63AF6">
        <w:rPr>
          <w:rFonts w:ascii="Arial" w:hAnsi="Arial" w:cs="Arial"/>
          <w:sz w:val="20"/>
          <w:szCs w:val="20"/>
        </w:rPr>
        <w:t xml:space="preserve">Variables used in Project </w:t>
      </w:r>
      <w:r w:rsidRPr="00E63AF6">
        <w:rPr>
          <w:rFonts w:ascii="Arial" w:hAnsi="Arial" w:cs="Arial"/>
          <w:sz w:val="20"/>
          <w:szCs w:val="20"/>
        </w:rPr>
        <w:t>570811</w:t>
      </w: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2830"/>
        <w:gridCol w:w="1985"/>
        <w:gridCol w:w="8221"/>
      </w:tblGrid>
      <w:tr w:rsidR="00E63AF6" w:rsidRPr="007703E6" w14:paraId="4E6DE0DF" w14:textId="77777777" w:rsidTr="002E5A28">
        <w:trPr>
          <w:trHeight w:val="420"/>
        </w:trPr>
        <w:tc>
          <w:tcPr>
            <w:tcW w:w="2830" w:type="dxa"/>
          </w:tcPr>
          <w:p w14:paraId="0A37199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1985" w:type="dxa"/>
          </w:tcPr>
          <w:p w14:paraId="7EDC4E2C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Data-field ID [Instance] Array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or entity </w:t>
            </w:r>
          </w:p>
        </w:tc>
        <w:tc>
          <w:tcPr>
            <w:tcW w:w="8221" w:type="dxa"/>
          </w:tcPr>
          <w:p w14:paraId="64AFFC4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Type;</w:t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Variable construction </w:t>
            </w:r>
          </w:p>
        </w:tc>
      </w:tr>
      <w:tr w:rsidR="00E63AF6" w:rsidRPr="007703E6" w14:paraId="0D80B13A" w14:textId="77777777" w:rsidTr="002E5A28">
        <w:trPr>
          <w:trHeight w:val="120"/>
        </w:trPr>
        <w:tc>
          <w:tcPr>
            <w:tcW w:w="2830" w:type="dxa"/>
          </w:tcPr>
          <w:p w14:paraId="6858A3E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Age </w:t>
            </w:r>
          </w:p>
        </w:tc>
        <w:tc>
          <w:tcPr>
            <w:tcW w:w="1985" w:type="dxa"/>
          </w:tcPr>
          <w:p w14:paraId="2B93B28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21022;</w:t>
            </w:r>
          </w:p>
        </w:tc>
        <w:tc>
          <w:tcPr>
            <w:tcW w:w="8221" w:type="dxa"/>
          </w:tcPr>
          <w:p w14:paraId="5C358D7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Numerical; used as originally provided. </w:t>
            </w:r>
          </w:p>
        </w:tc>
      </w:tr>
      <w:tr w:rsidR="00E63AF6" w:rsidRPr="007703E6" w14:paraId="4B49314A" w14:textId="77777777" w:rsidTr="002E5A28">
        <w:trPr>
          <w:trHeight w:val="166"/>
        </w:trPr>
        <w:tc>
          <w:tcPr>
            <w:tcW w:w="2830" w:type="dxa"/>
          </w:tcPr>
          <w:p w14:paraId="1D1BAAE1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Sex</w:t>
            </w:r>
          </w:p>
        </w:tc>
        <w:tc>
          <w:tcPr>
            <w:tcW w:w="1985" w:type="dxa"/>
          </w:tcPr>
          <w:p w14:paraId="4977450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31; </w:t>
            </w:r>
          </w:p>
        </w:tc>
        <w:tc>
          <w:tcPr>
            <w:tcW w:w="8221" w:type="dxa"/>
          </w:tcPr>
          <w:p w14:paraId="7FA07F86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Categorical; used as originally provided.</w:t>
            </w:r>
          </w:p>
        </w:tc>
      </w:tr>
      <w:tr w:rsidR="00E63AF6" w:rsidRPr="007703E6" w14:paraId="564480D5" w14:textId="77777777" w:rsidTr="002E5A28">
        <w:trPr>
          <w:trHeight w:val="1062"/>
        </w:trPr>
        <w:tc>
          <w:tcPr>
            <w:tcW w:w="2830" w:type="dxa"/>
          </w:tcPr>
          <w:p w14:paraId="51F4B63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Race/ethnicity</w:t>
            </w:r>
          </w:p>
        </w:tc>
        <w:tc>
          <w:tcPr>
            <w:tcW w:w="1985" w:type="dxa"/>
          </w:tcPr>
          <w:p w14:paraId="33FFC0D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21000[0];</w:t>
            </w:r>
          </w:p>
        </w:tc>
        <w:tc>
          <w:tcPr>
            <w:tcW w:w="8221" w:type="dxa"/>
          </w:tcPr>
          <w:p w14:paraId="7594BB0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Categorical;</w:t>
            </w:r>
            <w:proofErr w:type="gramEnd"/>
          </w:p>
          <w:p w14:paraId="65D923E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Ethnic background variable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was transformed into a four-level variable: </w:t>
            </w:r>
            <w:r w:rsidRPr="007703E6">
              <w:rPr>
                <w:rFonts w:ascii="Arial" w:hAnsi="Arial" w:cs="Arial"/>
                <w:sz w:val="20"/>
                <w:szCs w:val="20"/>
                <w:u w:val="single"/>
              </w:rPr>
              <w:t>Asian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(combined 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Asian or Asian British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Chinese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cat.); </w:t>
            </w:r>
            <w:r w:rsidRPr="007703E6">
              <w:rPr>
                <w:rFonts w:ascii="Arial" w:hAnsi="Arial" w:cs="Arial"/>
                <w:sz w:val="20"/>
                <w:szCs w:val="20"/>
                <w:u w:val="single"/>
              </w:rPr>
              <w:t>Black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(original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Black or Black British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cat.); </w:t>
            </w:r>
            <w:r w:rsidRPr="007703E6">
              <w:rPr>
                <w:rFonts w:ascii="Arial" w:hAnsi="Arial" w:cs="Arial"/>
                <w:sz w:val="20"/>
                <w:szCs w:val="20"/>
                <w:u w:val="single"/>
              </w:rPr>
              <w:t>Mixed/other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(combined 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Mixed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Other ethnic group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cat.); </w:t>
            </w:r>
            <w:r w:rsidRPr="007703E6">
              <w:rPr>
                <w:rFonts w:ascii="Arial" w:hAnsi="Arial" w:cs="Arial"/>
                <w:sz w:val="20"/>
                <w:szCs w:val="20"/>
                <w:u w:val="single"/>
              </w:rPr>
              <w:t>White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(original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White </w:t>
            </w:r>
            <w:r w:rsidRPr="007703E6">
              <w:rPr>
                <w:rFonts w:ascii="Arial" w:hAnsi="Arial" w:cs="Arial"/>
                <w:sz w:val="20"/>
                <w:szCs w:val="20"/>
              </w:rPr>
              <w:t>cat.)</w:t>
            </w:r>
          </w:p>
        </w:tc>
      </w:tr>
      <w:tr w:rsidR="00E63AF6" w:rsidRPr="007703E6" w14:paraId="511169FD" w14:textId="77777777" w:rsidTr="002E5A28">
        <w:trPr>
          <w:trHeight w:val="133"/>
        </w:trPr>
        <w:tc>
          <w:tcPr>
            <w:tcW w:w="2830" w:type="dxa"/>
          </w:tcPr>
          <w:p w14:paraId="1D0F52A2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Body mass index</w:t>
            </w:r>
          </w:p>
        </w:tc>
        <w:tc>
          <w:tcPr>
            <w:tcW w:w="1985" w:type="dxa"/>
          </w:tcPr>
          <w:p w14:paraId="6FE1CFD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21001[0];</w:t>
            </w:r>
          </w:p>
        </w:tc>
        <w:tc>
          <w:tcPr>
            <w:tcW w:w="8221" w:type="dxa"/>
          </w:tcPr>
          <w:p w14:paraId="44F0484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02830C3D" w14:textId="77777777" w:rsidTr="002E5A28">
        <w:trPr>
          <w:trHeight w:val="239"/>
        </w:trPr>
        <w:tc>
          <w:tcPr>
            <w:tcW w:w="2830" w:type="dxa"/>
          </w:tcPr>
          <w:p w14:paraId="241BF078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Smoking status </w:t>
            </w:r>
          </w:p>
        </w:tc>
        <w:tc>
          <w:tcPr>
            <w:tcW w:w="1985" w:type="dxa"/>
          </w:tcPr>
          <w:p w14:paraId="5EE4F21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20116[0];</w:t>
            </w:r>
          </w:p>
        </w:tc>
        <w:tc>
          <w:tcPr>
            <w:tcW w:w="8221" w:type="dxa"/>
          </w:tcPr>
          <w:p w14:paraId="1028A65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Categorical; used as originally provided.</w:t>
            </w:r>
          </w:p>
        </w:tc>
      </w:tr>
      <w:tr w:rsidR="00E63AF6" w:rsidRPr="007703E6" w14:paraId="668B96C8" w14:textId="77777777" w:rsidTr="002E5A28">
        <w:trPr>
          <w:trHeight w:val="239"/>
        </w:trPr>
        <w:tc>
          <w:tcPr>
            <w:tcW w:w="2830" w:type="dxa"/>
          </w:tcPr>
          <w:p w14:paraId="78793A7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Systolic blood pressure</w:t>
            </w:r>
          </w:p>
        </w:tc>
        <w:tc>
          <w:tcPr>
            <w:tcW w:w="1985" w:type="dxa"/>
          </w:tcPr>
          <w:p w14:paraId="5DC45A1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93[0] Array 1-2</w:t>
            </w:r>
          </w:p>
          <w:p w14:paraId="50C229E8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4080[0] Array 1-2</w:t>
            </w:r>
          </w:p>
        </w:tc>
        <w:tc>
          <w:tcPr>
            <w:tcW w:w="8221" w:type="dxa"/>
          </w:tcPr>
          <w:p w14:paraId="43CE9088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Numerical; It was calculated as an average of repeated measurements either from original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Systolic blood pressure, automatic reading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Systolic blood pressure, manual reading</w:t>
            </w:r>
          </w:p>
        </w:tc>
      </w:tr>
      <w:tr w:rsidR="00E63AF6" w:rsidRPr="007703E6" w14:paraId="6968E4F4" w14:textId="77777777" w:rsidTr="002E5A28">
        <w:trPr>
          <w:trHeight w:val="239"/>
        </w:trPr>
        <w:tc>
          <w:tcPr>
            <w:tcW w:w="2830" w:type="dxa"/>
          </w:tcPr>
          <w:p w14:paraId="14246DA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Glycated hemoglobin</w:t>
            </w:r>
          </w:p>
        </w:tc>
        <w:tc>
          <w:tcPr>
            <w:tcW w:w="1985" w:type="dxa"/>
          </w:tcPr>
          <w:p w14:paraId="548F178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30750[0];</w:t>
            </w:r>
          </w:p>
        </w:tc>
        <w:tc>
          <w:tcPr>
            <w:tcW w:w="8221" w:type="dxa"/>
          </w:tcPr>
          <w:p w14:paraId="10856B0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5B169BC8" w14:textId="77777777" w:rsidTr="002E5A28">
        <w:trPr>
          <w:trHeight w:val="239"/>
        </w:trPr>
        <w:tc>
          <w:tcPr>
            <w:tcW w:w="2830" w:type="dxa"/>
          </w:tcPr>
          <w:p w14:paraId="782461EB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Estimated glomerular filtration rate </w:t>
            </w:r>
          </w:p>
        </w:tc>
        <w:tc>
          <w:tcPr>
            <w:tcW w:w="1985" w:type="dxa"/>
          </w:tcPr>
          <w:p w14:paraId="26CD693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30700[0]; 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8221" w:type="dxa"/>
          </w:tcPr>
          <w:p w14:paraId="314910C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Numerical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; Using baseline conventional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Creatinine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measurements, estimated glomerular filtration rate was calculated according to MDRD formula. </w:t>
            </w:r>
          </w:p>
        </w:tc>
      </w:tr>
      <w:tr w:rsidR="00E63AF6" w:rsidRPr="007703E6" w14:paraId="4D0E0608" w14:textId="77777777" w:rsidTr="002E5A28">
        <w:trPr>
          <w:trHeight w:val="103"/>
        </w:trPr>
        <w:tc>
          <w:tcPr>
            <w:tcW w:w="2830" w:type="dxa"/>
          </w:tcPr>
          <w:p w14:paraId="0D63258B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Fasting time</w:t>
            </w:r>
          </w:p>
        </w:tc>
        <w:tc>
          <w:tcPr>
            <w:tcW w:w="1985" w:type="dxa"/>
          </w:tcPr>
          <w:p w14:paraId="2FA40FD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74[0]; </w:t>
            </w:r>
          </w:p>
        </w:tc>
        <w:tc>
          <w:tcPr>
            <w:tcW w:w="8221" w:type="dxa"/>
          </w:tcPr>
          <w:p w14:paraId="43FFF2A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Integer; used as originally provided.</w:t>
            </w:r>
          </w:p>
        </w:tc>
      </w:tr>
      <w:tr w:rsidR="00E63AF6" w:rsidRPr="007703E6" w14:paraId="763697AB" w14:textId="77777777" w:rsidTr="002E5A28">
        <w:trPr>
          <w:trHeight w:val="365"/>
        </w:trPr>
        <w:tc>
          <w:tcPr>
            <w:tcW w:w="2830" w:type="dxa"/>
          </w:tcPr>
          <w:p w14:paraId="2E0A2E4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Use of lipid-lowering medication 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1985" w:type="dxa"/>
          </w:tcPr>
          <w:p w14:paraId="579F5887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20003[0];</w:t>
            </w:r>
          </w:p>
        </w:tc>
        <w:tc>
          <w:tcPr>
            <w:tcW w:w="8221" w:type="dxa"/>
          </w:tcPr>
          <w:p w14:paraId="171405FE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Categorical; Use of oral steroids was defined according to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Treatment/medication code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recorded during verbal interview with a nurse. Free-text medication labels were converted to ATC codes. Coverage of free-text labels was 100% for free-text labels reported by &gt;1 participant. C10 category was considered as lipid-lowering medication.</w:t>
            </w:r>
          </w:p>
        </w:tc>
      </w:tr>
      <w:tr w:rsidR="00E63AF6" w:rsidRPr="007703E6" w14:paraId="2C81C4E9" w14:textId="77777777" w:rsidTr="002E5A28">
        <w:trPr>
          <w:trHeight w:val="1049"/>
        </w:trPr>
        <w:tc>
          <w:tcPr>
            <w:tcW w:w="2830" w:type="dxa"/>
          </w:tcPr>
          <w:p w14:paraId="27657661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Prevalent coronary artery disease</w:t>
            </w:r>
          </w:p>
          <w:p w14:paraId="7A7B396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</w:tcPr>
          <w:p w14:paraId="64573B20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20002[0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018438BC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87[0]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0-33;</w:t>
            </w:r>
            <w:proofErr w:type="gramEnd"/>
          </w:p>
          <w:p w14:paraId="48812C4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20004[0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1E8DAC6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92[0]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0-31;</w:t>
            </w:r>
            <w:proofErr w:type="gramEnd"/>
          </w:p>
          <w:p w14:paraId="3C1B4787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41270;</w:t>
            </w:r>
            <w:proofErr w:type="gramEnd"/>
          </w:p>
          <w:p w14:paraId="7D93DFA7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41280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0-258;</w:t>
            </w:r>
            <w:proofErr w:type="gramEnd"/>
          </w:p>
          <w:p w14:paraId="2CF8132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41271;</w:t>
            </w:r>
            <w:proofErr w:type="gramEnd"/>
          </w:p>
          <w:p w14:paraId="4403F1B9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41281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0-46;</w:t>
            </w:r>
            <w:proofErr w:type="gramEnd"/>
          </w:p>
          <w:p w14:paraId="665D1A46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41272;</w:t>
            </w:r>
            <w:proofErr w:type="gramEnd"/>
          </w:p>
          <w:p w14:paraId="1CC5E7F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41282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0-125;</w:t>
            </w:r>
            <w:proofErr w:type="gramEnd"/>
          </w:p>
          <w:p w14:paraId="6F61B8B6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12F81C39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vMerge w:val="restart"/>
          </w:tcPr>
          <w:p w14:paraId="535F8528" w14:textId="77777777" w:rsidR="00E63AF6" w:rsidRPr="007703E6" w:rsidRDefault="00E63AF6" w:rsidP="002E5A28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Categorical; Respective prevalent atherosclerotic events were defined as: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 xml:space="preserve">1. Self-reported diagnosis of disease (according to </w:t>
            </w:r>
            <w:proofErr w:type="gram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Non-cancer</w:t>
            </w:r>
            <w:proofErr w:type="gramEnd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illness code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). Approximate date of diagnosis was based on reported age or year of diagnosis. Missing interpolated time was set as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01-01-1900;</w:t>
            </w:r>
            <w:proofErr w:type="gramEnd"/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</w:p>
          <w:p w14:paraId="12843031" w14:textId="77777777" w:rsidR="00E63AF6" w:rsidRPr="007703E6" w:rsidRDefault="00E63AF6" w:rsidP="002E5A28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2. Self-reported operative procedure (according to </w:t>
            </w:r>
            <w:proofErr w:type="gram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Non-cancer</w:t>
            </w:r>
            <w:proofErr w:type="gramEnd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illness code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). Approximate date of operative procedure was based on reported age or year of diagnosis. Missing interpolated time was set as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01-01-1900;</w:t>
            </w:r>
            <w:proofErr w:type="gramEnd"/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</w:p>
          <w:p w14:paraId="74398769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3. Diagnosis during hospital inpatient admission prior 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the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Date of attending assessment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centre</w:t>
            </w:r>
            <w:proofErr w:type="spellEnd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(according to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Diagnoses – ICD10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Diagnoses – ICD9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);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 xml:space="preserve">4. Operative procedure during hospital inpatient admission prior to the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Date of attending assessment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centre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(according to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Operative procedures – OPCS4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E0CCF83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If both prior hospitalization and self-reported disease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were</w:t>
            </w:r>
            <w:proofErr w:type="gramEnd"/>
            <w:r w:rsidRPr="007703E6">
              <w:rPr>
                <w:rFonts w:ascii="Arial" w:hAnsi="Arial" w:cs="Arial"/>
                <w:sz w:val="20"/>
                <w:szCs w:val="20"/>
              </w:rPr>
              <w:t xml:space="preserve"> available date of hospitalization was preferred as the date of diagnosis.</w:t>
            </w:r>
          </w:p>
        </w:tc>
      </w:tr>
      <w:tr w:rsidR="00E63AF6" w:rsidRPr="007703E6" w14:paraId="221DA0C6" w14:textId="77777777" w:rsidTr="002E5A28">
        <w:trPr>
          <w:trHeight w:val="1049"/>
        </w:trPr>
        <w:tc>
          <w:tcPr>
            <w:tcW w:w="2830" w:type="dxa"/>
          </w:tcPr>
          <w:p w14:paraId="096BDCD7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Prevalent peripheral coronary artery disease</w:t>
            </w:r>
          </w:p>
          <w:p w14:paraId="0A03CE72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4F13909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vMerge/>
          </w:tcPr>
          <w:p w14:paraId="3C9E5B34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AF6" w:rsidRPr="007703E6" w14:paraId="59E28DCC" w14:textId="77777777" w:rsidTr="002E5A28">
        <w:trPr>
          <w:trHeight w:val="1049"/>
        </w:trPr>
        <w:tc>
          <w:tcPr>
            <w:tcW w:w="2830" w:type="dxa"/>
          </w:tcPr>
          <w:p w14:paraId="65AD9F53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Prevalent stroke</w:t>
            </w:r>
          </w:p>
          <w:p w14:paraId="50C6135C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59E192F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  <w:vMerge/>
          </w:tcPr>
          <w:p w14:paraId="3DCF6F03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AF6" w:rsidRPr="007703E6" w14:paraId="6CB1DE91" w14:textId="77777777" w:rsidTr="002E5A28">
        <w:trPr>
          <w:trHeight w:val="2335"/>
        </w:trPr>
        <w:tc>
          <w:tcPr>
            <w:tcW w:w="2830" w:type="dxa"/>
          </w:tcPr>
          <w:p w14:paraId="63669E6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lastRenderedPageBreak/>
              <w:t>Incident coronary artery disease</w:t>
            </w:r>
          </w:p>
          <w:p w14:paraId="72D8BB33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F927A2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41270;</w:t>
            </w:r>
            <w:proofErr w:type="gramEnd"/>
          </w:p>
          <w:p w14:paraId="31660AB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41280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0-258;</w:t>
            </w:r>
            <w:proofErr w:type="gramEnd"/>
          </w:p>
          <w:p w14:paraId="32B58D0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41272;</w:t>
            </w:r>
            <w:proofErr w:type="gramEnd"/>
          </w:p>
          <w:p w14:paraId="79F140F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41282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0-125;</w:t>
            </w:r>
            <w:proofErr w:type="gramEnd"/>
          </w:p>
          <w:p w14:paraId="3756B06E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40000[0-1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13BB3E4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40001[0-1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1152281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40002[0-1] Array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0-14;</w:t>
            </w:r>
            <w:proofErr w:type="gramEnd"/>
          </w:p>
          <w:p w14:paraId="17D856C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</w:tcPr>
          <w:p w14:paraId="61856C53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Categorical, Time to event; Incident atherosclerotic event was defined as:</w:t>
            </w:r>
          </w:p>
          <w:p w14:paraId="5699A529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1. Diagnosis during hospital inpatient admission after the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Date of attending assessment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centre</w:t>
            </w:r>
            <w:proofErr w:type="spellEnd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(according to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Diagnoses – ICD10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Diagnoses – ICD9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);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</w:p>
          <w:p w14:paraId="5F61FD25" w14:textId="77777777" w:rsidR="00E63AF6" w:rsidRPr="007703E6" w:rsidRDefault="00E63AF6" w:rsidP="002E5A28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2. Operative procedure during hospital inpatient admission after the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Date of attending assessment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centre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(according to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Operative procedures – OPCS4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); </w:t>
            </w:r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OR</w:t>
            </w:r>
          </w:p>
          <w:p w14:paraId="4D3959D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3. Death due to event as the underlying or contributory cause (according to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Undelying</w:t>
            </w:r>
            <w:proofErr w:type="spellEnd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(primary) cause of death: ICD10 or Contributory (secondary) causes of death: ICD10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from </w:t>
            </w:r>
            <w:r>
              <w:rPr>
                <w:rFonts w:ascii="Arial" w:hAnsi="Arial" w:cs="Arial"/>
                <w:sz w:val="20"/>
                <w:szCs w:val="20"/>
              </w:rPr>
              <w:t>Outcome Definitions</w:t>
            </w:r>
            <w:r w:rsidRPr="007703E6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2C379DEA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The date of incident event was set as the date of earliest event.</w:t>
            </w:r>
          </w:p>
        </w:tc>
      </w:tr>
      <w:tr w:rsidR="00E63AF6" w:rsidRPr="007703E6" w14:paraId="5BECA4EF" w14:textId="77777777" w:rsidTr="002E5A28">
        <w:trPr>
          <w:trHeight w:val="477"/>
        </w:trPr>
        <w:tc>
          <w:tcPr>
            <w:tcW w:w="2830" w:type="dxa"/>
          </w:tcPr>
          <w:p w14:paraId="7EB4423B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Conventional apolipoprotein B</w:t>
            </w:r>
          </w:p>
        </w:tc>
        <w:tc>
          <w:tcPr>
            <w:tcW w:w="1985" w:type="dxa"/>
          </w:tcPr>
          <w:p w14:paraId="645DBE4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30640[0];</w:t>
            </w:r>
          </w:p>
        </w:tc>
        <w:tc>
          <w:tcPr>
            <w:tcW w:w="8221" w:type="dxa"/>
          </w:tcPr>
          <w:p w14:paraId="7B5A8D53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3E7C8C4C" w14:textId="77777777" w:rsidTr="002E5A28">
        <w:trPr>
          <w:trHeight w:val="477"/>
        </w:trPr>
        <w:tc>
          <w:tcPr>
            <w:tcW w:w="2830" w:type="dxa"/>
          </w:tcPr>
          <w:p w14:paraId="2080415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Conventional total cholesterol</w:t>
            </w:r>
          </w:p>
        </w:tc>
        <w:tc>
          <w:tcPr>
            <w:tcW w:w="1985" w:type="dxa"/>
          </w:tcPr>
          <w:p w14:paraId="73584CC5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306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1D86266B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3BA0EFF4" w14:textId="77777777" w:rsidTr="002E5A28">
        <w:trPr>
          <w:trHeight w:val="477"/>
        </w:trPr>
        <w:tc>
          <w:tcPr>
            <w:tcW w:w="2830" w:type="dxa"/>
          </w:tcPr>
          <w:p w14:paraId="4B1F06A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Conventional LDL cholesterol</w:t>
            </w:r>
          </w:p>
        </w:tc>
        <w:tc>
          <w:tcPr>
            <w:tcW w:w="1985" w:type="dxa"/>
          </w:tcPr>
          <w:p w14:paraId="004EA2EA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780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63CC9C9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21B55C13" w14:textId="77777777" w:rsidTr="002E5A28">
        <w:trPr>
          <w:trHeight w:val="477"/>
        </w:trPr>
        <w:tc>
          <w:tcPr>
            <w:tcW w:w="2830" w:type="dxa"/>
          </w:tcPr>
          <w:p w14:paraId="28223F5B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Conventional HDL cholesterol</w:t>
            </w:r>
          </w:p>
        </w:tc>
        <w:tc>
          <w:tcPr>
            <w:tcW w:w="1985" w:type="dxa"/>
          </w:tcPr>
          <w:p w14:paraId="44E5461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760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2ABFF8B7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7AC01092" w14:textId="77777777" w:rsidTr="002E5A28">
        <w:trPr>
          <w:trHeight w:val="477"/>
        </w:trPr>
        <w:tc>
          <w:tcPr>
            <w:tcW w:w="2830" w:type="dxa"/>
          </w:tcPr>
          <w:p w14:paraId="459A0557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Conventional triglycerides</w:t>
            </w:r>
          </w:p>
        </w:tc>
        <w:tc>
          <w:tcPr>
            <w:tcW w:w="1985" w:type="dxa"/>
          </w:tcPr>
          <w:p w14:paraId="40CBBC89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870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630CBD1E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</w:tc>
      </w:tr>
      <w:tr w:rsidR="00E63AF6" w:rsidRPr="007703E6" w14:paraId="064F5810" w14:textId="77777777" w:rsidTr="002E5A28">
        <w:trPr>
          <w:trHeight w:val="477"/>
        </w:trPr>
        <w:tc>
          <w:tcPr>
            <w:tcW w:w="2830" w:type="dxa"/>
          </w:tcPr>
          <w:p w14:paraId="3548A7BA" w14:textId="77777777" w:rsidR="00E63AF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TRL particle concentration</w:t>
            </w:r>
          </w:p>
        </w:tc>
        <w:tc>
          <w:tcPr>
            <w:tcW w:w="1985" w:type="dxa"/>
          </w:tcPr>
          <w:p w14:paraId="3F57599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306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760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780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1515F471" w14:textId="77777777" w:rsidR="00E63AF6" w:rsidRPr="00126A4F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</w:t>
            </w:r>
            <w:r>
              <w:rPr>
                <w:rFonts w:ascii="Arial" w:hAnsi="Arial" w:cs="Arial"/>
                <w:sz w:val="20"/>
                <w:szCs w:val="20"/>
              </w:rPr>
              <w:t xml:space="preserve"> TRL/remnant cholesterol was calculated as: Total cholesterol (</w:t>
            </w:r>
            <w:r w:rsidRPr="00126A4F">
              <w:rPr>
                <w:rFonts w:ascii="Arial" w:hAnsi="Arial" w:cs="Arial"/>
                <w:i/>
                <w:iCs/>
                <w:sz w:val="20"/>
                <w:szCs w:val="20"/>
              </w:rPr>
              <w:t>Conventional total cholesterol</w:t>
            </w:r>
            <w:r>
              <w:rPr>
                <w:rFonts w:ascii="Arial" w:hAnsi="Arial" w:cs="Arial"/>
                <w:sz w:val="20"/>
                <w:szCs w:val="20"/>
              </w:rPr>
              <w:t>) – HDL cholesterol (</w:t>
            </w:r>
            <w:r w:rsidRPr="00126A4F">
              <w:rPr>
                <w:rFonts w:ascii="Arial" w:hAnsi="Arial" w:cs="Arial"/>
                <w:i/>
                <w:iCs/>
                <w:sz w:val="20"/>
                <w:szCs w:val="20"/>
              </w:rPr>
              <w:t>Conventional HDL cholesterol</w:t>
            </w:r>
            <w:r>
              <w:rPr>
                <w:rFonts w:ascii="Arial" w:hAnsi="Arial" w:cs="Arial"/>
                <w:sz w:val="20"/>
                <w:szCs w:val="20"/>
              </w:rPr>
              <w:t>) – LDL cholesterol (</w:t>
            </w:r>
            <w:r w:rsidRPr="00126A4F">
              <w:rPr>
                <w:rFonts w:ascii="Arial" w:hAnsi="Arial" w:cs="Arial"/>
                <w:i/>
                <w:iCs/>
                <w:sz w:val="20"/>
                <w:szCs w:val="20"/>
              </w:rPr>
              <w:t>Conventional LDL cholesterol</w:t>
            </w:r>
            <w:r>
              <w:rPr>
                <w:rFonts w:ascii="Arial" w:hAnsi="Arial" w:cs="Arial"/>
                <w:sz w:val="20"/>
                <w:szCs w:val="20"/>
              </w:rPr>
              <w:t xml:space="preserve">). 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TRL </w:t>
            </w:r>
            <w:r>
              <w:rPr>
                <w:rFonts w:ascii="Arial" w:hAnsi="Arial" w:cs="Arial"/>
                <w:sz w:val="20"/>
                <w:szCs w:val="20"/>
              </w:rPr>
              <w:t>particle concentration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 was then estimated by assuming an average cholesterol content of 4000 molecules per TRL particle (1 mmol of TRL</w:t>
            </w:r>
            <w:r>
              <w:rPr>
                <w:rFonts w:ascii="Arial" w:hAnsi="Arial" w:cs="Arial"/>
                <w:sz w:val="20"/>
                <w:szCs w:val="20"/>
              </w:rPr>
              <w:t>/remnant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 cholesterol converts to 250 nmol/L of TRL particles)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63AF6" w:rsidRPr="007703E6" w14:paraId="77D21041" w14:textId="77777777" w:rsidTr="002E5A28">
        <w:trPr>
          <w:trHeight w:val="477"/>
        </w:trPr>
        <w:tc>
          <w:tcPr>
            <w:tcW w:w="2830" w:type="dxa"/>
          </w:tcPr>
          <w:p w14:paraId="2CF21C74" w14:textId="77777777" w:rsidR="00E63AF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LDL particle concentration</w:t>
            </w:r>
          </w:p>
        </w:tc>
        <w:tc>
          <w:tcPr>
            <w:tcW w:w="1985" w:type="dxa"/>
          </w:tcPr>
          <w:p w14:paraId="5F3A6249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780</w:t>
            </w:r>
            <w:r w:rsidRPr="007703E6">
              <w:rPr>
                <w:rFonts w:ascii="Arial" w:hAnsi="Arial" w:cs="Arial"/>
                <w:sz w:val="20"/>
                <w:szCs w:val="20"/>
              </w:rPr>
              <w:t>[0];</w:t>
            </w:r>
          </w:p>
        </w:tc>
        <w:tc>
          <w:tcPr>
            <w:tcW w:w="8221" w:type="dxa"/>
          </w:tcPr>
          <w:p w14:paraId="5DD963AF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26A4F">
              <w:rPr>
                <w:rFonts w:ascii="Arial" w:hAnsi="Arial" w:cs="Arial"/>
                <w:sz w:val="20"/>
                <w:szCs w:val="20"/>
              </w:rPr>
              <w:t>LDL</w:t>
            </w:r>
            <w:r>
              <w:rPr>
                <w:rFonts w:ascii="Arial" w:hAnsi="Arial" w:cs="Arial"/>
                <w:sz w:val="20"/>
                <w:szCs w:val="20"/>
              </w:rPr>
              <w:t xml:space="preserve"> particle concentration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 was approximated from directly measured LDL</w:t>
            </w:r>
            <w:r>
              <w:rPr>
                <w:rFonts w:ascii="Arial" w:hAnsi="Arial" w:cs="Arial"/>
                <w:sz w:val="20"/>
                <w:szCs w:val="20"/>
              </w:rPr>
              <w:t xml:space="preserve"> cholesterol </w:t>
            </w:r>
            <w:r w:rsidRPr="00126A4F">
              <w:rPr>
                <w:rFonts w:ascii="Arial" w:hAnsi="Arial" w:cs="Arial"/>
                <w:i/>
                <w:iCs/>
                <w:sz w:val="20"/>
                <w:szCs w:val="20"/>
              </w:rPr>
              <w:t>Conventional LDL cholesterol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126A4F">
              <w:rPr>
                <w:rFonts w:ascii="Arial" w:hAnsi="Arial" w:cs="Arial"/>
                <w:sz w:val="20"/>
                <w:szCs w:val="20"/>
              </w:rPr>
              <w:t>, assuming an average of 2000 cholesterol molecules per LDL particle (1 mmol of LDL cholesterol equals 500 nmol/L of LDL particles)</w:t>
            </w:r>
          </w:p>
        </w:tc>
      </w:tr>
      <w:tr w:rsidR="00E63AF6" w:rsidRPr="007703E6" w14:paraId="0D286E1B" w14:textId="77777777" w:rsidTr="002E5A28">
        <w:trPr>
          <w:trHeight w:val="477"/>
        </w:trPr>
        <w:tc>
          <w:tcPr>
            <w:tcW w:w="2830" w:type="dxa"/>
          </w:tcPr>
          <w:p w14:paraId="50C68C17" w14:textId="77777777" w:rsidR="00E63AF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Conventional lipoprotein(a)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</w:p>
          <w:p w14:paraId="6BF93F92" w14:textId="77777777" w:rsidR="00E63AF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Lp(a) particle concentration</w:t>
            </w:r>
          </w:p>
        </w:tc>
        <w:tc>
          <w:tcPr>
            <w:tcW w:w="1985" w:type="dxa"/>
          </w:tcPr>
          <w:p w14:paraId="5408AF7C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30790[0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6C41140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Data return 2321</w:t>
            </w:r>
          </w:p>
        </w:tc>
        <w:tc>
          <w:tcPr>
            <w:tcW w:w="8221" w:type="dxa"/>
          </w:tcPr>
          <w:p w14:paraId="17A9D3D8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Numerical; used as originally provided.</w:t>
            </w:r>
          </w:p>
          <w:p w14:paraId="6930B8A5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Values &lt;3.8 and &gt;189.0 nmol/L were acquired from Data Return 2321.</w:t>
            </w:r>
          </w:p>
        </w:tc>
      </w:tr>
      <w:tr w:rsidR="00E63AF6" w:rsidRPr="007703E6" w14:paraId="0940B744" w14:textId="77777777" w:rsidTr="002E5A28">
        <w:trPr>
          <w:trHeight w:val="674"/>
        </w:trPr>
        <w:tc>
          <w:tcPr>
            <w:tcW w:w="2830" w:type="dxa"/>
          </w:tcPr>
          <w:p w14:paraId="6314C551" w14:textId="77777777" w:rsidR="00E63AF6" w:rsidRPr="007703E6" w:rsidRDefault="00E63AF6" w:rsidP="002E5A28">
            <w:pPr>
              <w:autoSpaceDE w:val="0"/>
              <w:autoSpaceDN w:val="0"/>
              <w:adjustRightInd w:val="0"/>
              <w:ind w:left="142" w:hanging="142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NMR VLDL </w:t>
            </w:r>
            <w:r>
              <w:rPr>
                <w:rFonts w:ascii="Arial" w:hAnsi="Arial" w:cs="Arial"/>
                <w:sz w:val="20"/>
                <w:szCs w:val="20"/>
              </w:rPr>
              <w:t>particle concentration</w:t>
            </w:r>
          </w:p>
        </w:tc>
        <w:tc>
          <w:tcPr>
            <w:tcW w:w="1985" w:type="dxa"/>
          </w:tcPr>
          <w:p w14:paraId="2EE2A784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23428</w:t>
            </w:r>
            <w:r w:rsidRPr="007703E6">
              <w:rPr>
                <w:rFonts w:ascii="Arial" w:hAnsi="Arial" w:cs="Arial"/>
                <w:sz w:val="20"/>
                <w:szCs w:val="20"/>
              </w:rPr>
              <w:t>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48414CCB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</w:tcPr>
          <w:p w14:paraId="0C2BD96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Numerical; All available 249 </w:t>
            </w:r>
            <w:r>
              <w:rPr>
                <w:rFonts w:ascii="Arial" w:hAnsi="Arial" w:cs="Arial"/>
                <w:sz w:val="20"/>
                <w:szCs w:val="20"/>
              </w:rPr>
              <w:t xml:space="preserve">NMR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markers were additionally processed using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ukbnmr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R package according to the method described by Ritchie to remove residual technical variance.</w:t>
            </w:r>
          </w:p>
        </w:tc>
      </w:tr>
      <w:tr w:rsidR="00E63AF6" w:rsidRPr="007703E6" w14:paraId="3F7D380A" w14:textId="77777777" w:rsidTr="002E5A28">
        <w:trPr>
          <w:trHeight w:val="193"/>
        </w:trPr>
        <w:tc>
          <w:tcPr>
            <w:tcW w:w="2830" w:type="dxa"/>
          </w:tcPr>
          <w:p w14:paraId="12C35391" w14:textId="77777777" w:rsidR="00E63AF6" w:rsidRPr="007703E6" w:rsidRDefault="00E63AF6" w:rsidP="002E5A28">
            <w:pPr>
              <w:autoSpaceDE w:val="0"/>
              <w:autoSpaceDN w:val="0"/>
              <w:adjustRightInd w:val="0"/>
              <w:ind w:left="35" w:hanging="35"/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NMR </w:t>
            </w:r>
            <w:r>
              <w:rPr>
                <w:rFonts w:ascii="Arial" w:hAnsi="Arial" w:cs="Arial"/>
                <w:sz w:val="20"/>
                <w:szCs w:val="20"/>
              </w:rPr>
              <w:t>LDL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particle concentration</w:t>
            </w:r>
          </w:p>
        </w:tc>
        <w:tc>
          <w:tcPr>
            <w:tcW w:w="1985" w:type="dxa"/>
          </w:tcPr>
          <w:p w14:paraId="6A69AD6D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23523</w:t>
            </w:r>
            <w:r w:rsidRPr="007703E6">
              <w:rPr>
                <w:rFonts w:ascii="Arial" w:hAnsi="Arial" w:cs="Arial"/>
                <w:sz w:val="20"/>
                <w:szCs w:val="20"/>
              </w:rPr>
              <w:t>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732F20EF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23429</w:t>
            </w:r>
            <w:r w:rsidRPr="007703E6">
              <w:rPr>
                <w:rFonts w:ascii="Arial" w:hAnsi="Arial" w:cs="Arial"/>
                <w:sz w:val="20"/>
                <w:szCs w:val="20"/>
              </w:rPr>
              <w:t>[0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];</w:t>
            </w:r>
            <w:proofErr w:type="gramEnd"/>
          </w:p>
          <w:p w14:paraId="720F7811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21" w:type="dxa"/>
          </w:tcPr>
          <w:p w14:paraId="567E1F2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Numerical; All available 249 </w:t>
            </w:r>
            <w:r>
              <w:rPr>
                <w:rFonts w:ascii="Arial" w:hAnsi="Arial" w:cs="Arial"/>
                <w:sz w:val="20"/>
                <w:szCs w:val="20"/>
              </w:rPr>
              <w:t xml:space="preserve">NMR 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markers were additionally processed using </w:t>
            </w:r>
            <w:proofErr w:type="spellStart"/>
            <w:r w:rsidRPr="007703E6">
              <w:rPr>
                <w:rFonts w:ascii="Arial" w:hAnsi="Arial" w:cs="Arial"/>
                <w:i/>
                <w:iCs/>
                <w:sz w:val="20"/>
                <w:szCs w:val="20"/>
              </w:rPr>
              <w:t>ukbnmr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R package according to the method described by Ritchie to remove residual technical variance.</w:t>
            </w:r>
            <w:r>
              <w:rPr>
                <w:rFonts w:ascii="Arial" w:hAnsi="Arial" w:cs="Arial"/>
                <w:sz w:val="20"/>
                <w:szCs w:val="20"/>
              </w:rPr>
              <w:t xml:space="preserve"> LDL particle concentration was calculated as sum of NMR classes: IDL (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Concentration of </w:t>
            </w:r>
            <w:r>
              <w:rPr>
                <w:rFonts w:ascii="Arial" w:hAnsi="Arial" w:cs="Arial"/>
                <w:sz w:val="20"/>
                <w:szCs w:val="20"/>
              </w:rPr>
              <w:t>IDL</w:t>
            </w:r>
            <w:r w:rsidRPr="00126A4F">
              <w:rPr>
                <w:rFonts w:ascii="Arial" w:hAnsi="Arial" w:cs="Arial"/>
                <w:sz w:val="20"/>
                <w:szCs w:val="20"/>
              </w:rPr>
              <w:t xml:space="preserve"> Particles</w:t>
            </w:r>
            <w:r>
              <w:rPr>
                <w:rFonts w:ascii="Arial" w:hAnsi="Arial" w:cs="Arial"/>
                <w:sz w:val="20"/>
                <w:szCs w:val="20"/>
              </w:rPr>
              <w:t>) and LDL (</w:t>
            </w:r>
            <w:r w:rsidRPr="00126A4F">
              <w:rPr>
                <w:rFonts w:ascii="Arial" w:hAnsi="Arial" w:cs="Arial"/>
                <w:i/>
                <w:iCs/>
                <w:sz w:val="20"/>
                <w:szCs w:val="20"/>
              </w:rPr>
              <w:t>Concentration of LDL Particles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E63AF6" w:rsidRPr="007703E6" w14:paraId="28736ABA" w14:textId="77777777" w:rsidTr="002E5A28">
        <w:trPr>
          <w:trHeight w:val="461"/>
        </w:trPr>
        <w:tc>
          <w:tcPr>
            <w:tcW w:w="2830" w:type="dxa"/>
          </w:tcPr>
          <w:p w14:paraId="41DBA58F" w14:textId="77777777" w:rsidR="00E63AF6" w:rsidRPr="007703E6" w:rsidRDefault="00E63AF6" w:rsidP="002E5A28">
            <w:pPr>
              <w:autoSpaceDE w:val="0"/>
              <w:autoSpaceDN w:val="0"/>
              <w:adjustRightInd w:val="0"/>
              <w:ind w:left="142"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Olink Explore protein NPX</w:t>
            </w:r>
          </w:p>
        </w:tc>
        <w:tc>
          <w:tcPr>
            <w:tcW w:w="1985" w:type="dxa"/>
          </w:tcPr>
          <w:p w14:paraId="226B3532" w14:textId="77777777" w:rsidR="00E63AF6" w:rsidRPr="007703E6" w:rsidRDefault="00E63AF6" w:rsidP="002E5A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Entity: </w:t>
            </w:r>
            <w:r w:rsidRPr="00AA4B76">
              <w:rPr>
                <w:rFonts w:ascii="Arial" w:hAnsi="Arial" w:cs="Arial"/>
                <w:i/>
                <w:iCs/>
                <w:sz w:val="20"/>
                <w:szCs w:val="20"/>
              </w:rPr>
              <w:t>olink0</w:t>
            </w:r>
          </w:p>
        </w:tc>
        <w:tc>
          <w:tcPr>
            <w:tcW w:w="8221" w:type="dxa"/>
          </w:tcPr>
          <w:p w14:paraId="05E47544" w14:textId="77777777" w:rsidR="00E63AF6" w:rsidRPr="00E63AF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Numerical; </w:t>
            </w:r>
            <w:r w:rsidRPr="00E63AF6">
              <w:rPr>
                <w:rFonts w:ascii="Arial" w:hAnsi="Arial" w:cs="Arial"/>
                <w:sz w:val="20"/>
                <w:szCs w:val="20"/>
              </w:rPr>
              <w:t xml:space="preserve">relative abundance of 2923 proteins across cardiometabolic, inflammatory, and </w:t>
            </w:r>
            <w:r w:rsidRPr="00E63AF6">
              <w:rPr>
                <w:rFonts w:ascii="Arial" w:hAnsi="Arial" w:cs="Arial"/>
                <w:vanish/>
                <w:sz w:val="20"/>
                <w:szCs w:val="20"/>
              </w:rPr>
              <w:t xml:space="preserve">neurological </w:t>
            </w:r>
            <w:r w:rsidRPr="00E63AF6">
              <w:rPr>
                <w:rFonts w:ascii="Arial" w:hAnsi="Arial" w:cs="Arial"/>
                <w:sz w:val="20"/>
                <w:szCs w:val="20"/>
              </w:rPr>
              <w:t>panels. Protein expression values were reported as log</w:t>
            </w:r>
            <w:r w:rsidRPr="00E63AF6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E63AF6">
              <w:rPr>
                <w:rFonts w:ascii="Arial" w:hAnsi="Arial" w:cs="Arial"/>
                <w:sz w:val="20"/>
                <w:szCs w:val="20"/>
              </w:rPr>
              <w:t>-transformed Normalized Protein eXpression unit. We excluded three proteins with more than 20% missing values and participants with more than 30% missing protein measurements. Additionally, APOB and LPA were excluded because they are structural components of the lipoprotein classes under investigation, yielding 2918 proteins for analysis. Protein concentrations were z-score standardized prior to statistical modeling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37C72F41" w14:textId="1F7DB83E" w:rsidR="00E63AF6" w:rsidRPr="00E63AF6" w:rsidRDefault="00E63AF6">
      <w:pPr>
        <w:spacing w:after="160" w:line="278" w:lineRule="auto"/>
        <w:rPr>
          <w:rFonts w:ascii="Arial" w:hAnsi="Arial" w:cs="Arial"/>
          <w:b/>
          <w:bCs/>
        </w:rPr>
      </w:pPr>
      <w:r w:rsidRPr="00E63AF6">
        <w:rPr>
          <w:rFonts w:ascii="Arial" w:hAnsi="Arial" w:cs="Arial"/>
          <w:b/>
          <w:bCs/>
        </w:rPr>
        <w:t xml:space="preserve"> </w:t>
      </w:r>
      <w:r w:rsidRPr="00E63AF6">
        <w:rPr>
          <w:rFonts w:ascii="Arial" w:hAnsi="Arial" w:cs="Arial"/>
          <w:b/>
          <w:bCs/>
        </w:rPr>
        <w:br w:type="page"/>
      </w:r>
    </w:p>
    <w:p w14:paraId="6011EF09" w14:textId="01141740" w:rsidR="00E63AF6" w:rsidRPr="007703E6" w:rsidRDefault="00E63AF6" w:rsidP="00E63AF6">
      <w:pPr>
        <w:pStyle w:val="Caption"/>
        <w:rPr>
          <w:rFonts w:cs="Arial"/>
          <w:szCs w:val="20"/>
        </w:rPr>
      </w:pPr>
      <w:bookmarkStart w:id="0" w:name="_Toc170369476"/>
      <w:r w:rsidRPr="00E63AF6">
        <w:rPr>
          <w:rFonts w:cs="Arial"/>
          <w:b/>
          <w:bCs/>
          <w:szCs w:val="20"/>
        </w:rPr>
        <w:lastRenderedPageBreak/>
        <w:t>Outcome Definitions</w:t>
      </w:r>
      <w:r w:rsidRPr="007703E6">
        <w:t xml:space="preserve">. </w:t>
      </w:r>
      <w:r w:rsidRPr="007703E6">
        <w:rPr>
          <w:rFonts w:cs="Arial"/>
          <w:szCs w:val="20"/>
        </w:rPr>
        <w:t>ICD-10, ICD-9, OPCS-4, and self-report codes used for disease definitions.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2936"/>
        <w:gridCol w:w="1680"/>
        <w:gridCol w:w="2592"/>
        <w:gridCol w:w="1773"/>
        <w:gridCol w:w="2181"/>
      </w:tblGrid>
      <w:tr w:rsidR="00E63AF6" w:rsidRPr="007703E6" w14:paraId="059B9E26" w14:textId="77777777" w:rsidTr="00E63AF6">
        <w:trPr>
          <w:trHeight w:val="96"/>
        </w:trPr>
        <w:tc>
          <w:tcPr>
            <w:tcW w:w="1788" w:type="dxa"/>
          </w:tcPr>
          <w:p w14:paraId="2B0C23C8" w14:textId="36E31ECE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Outcome</w:t>
            </w:r>
          </w:p>
        </w:tc>
        <w:tc>
          <w:tcPr>
            <w:tcW w:w="2936" w:type="dxa"/>
          </w:tcPr>
          <w:p w14:paraId="0BC57EA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ICD-10</w:t>
            </w:r>
          </w:p>
        </w:tc>
        <w:tc>
          <w:tcPr>
            <w:tcW w:w="1680" w:type="dxa"/>
          </w:tcPr>
          <w:p w14:paraId="3297D190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ICD-9</w:t>
            </w:r>
          </w:p>
        </w:tc>
        <w:tc>
          <w:tcPr>
            <w:tcW w:w="2592" w:type="dxa"/>
          </w:tcPr>
          <w:p w14:paraId="054F4A7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OPCS-4</w:t>
            </w:r>
          </w:p>
        </w:tc>
        <w:tc>
          <w:tcPr>
            <w:tcW w:w="1773" w:type="dxa"/>
          </w:tcPr>
          <w:p w14:paraId="4DE7B5AE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Non-cancer illness code</w:t>
            </w:r>
          </w:p>
        </w:tc>
        <w:tc>
          <w:tcPr>
            <w:tcW w:w="2181" w:type="dxa"/>
          </w:tcPr>
          <w:p w14:paraId="4D31ABE0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Operation code</w:t>
            </w:r>
          </w:p>
        </w:tc>
      </w:tr>
      <w:tr w:rsidR="00E63AF6" w:rsidRPr="007703E6" w14:paraId="240B70B2" w14:textId="77777777" w:rsidTr="00E63AF6">
        <w:trPr>
          <w:trHeight w:val="459"/>
        </w:trPr>
        <w:tc>
          <w:tcPr>
            <w:tcW w:w="1788" w:type="dxa"/>
          </w:tcPr>
          <w:p w14:paraId="3E0ECF41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Coronary artery disease</w:t>
            </w:r>
          </w:p>
        </w:tc>
        <w:tc>
          <w:tcPr>
            <w:tcW w:w="2936" w:type="dxa"/>
          </w:tcPr>
          <w:p w14:paraId="5931B3F9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I21</w:t>
            </w:r>
            <w:r w:rsidRPr="007703E6">
              <w:rPr>
                <w:rFonts w:ascii="Arial" w:hAnsi="Arial" w:cs="Arial"/>
                <w:sz w:val="20"/>
                <w:szCs w:val="20"/>
              </w:rPr>
              <w:t>: I21.0, I21.1, I21.2, I21.3, I21.4, I21.9;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I22: </w:t>
            </w:r>
            <w:r w:rsidRPr="007703E6">
              <w:rPr>
                <w:rFonts w:ascii="Arial" w:hAnsi="Arial" w:cs="Arial"/>
                <w:sz w:val="20"/>
                <w:szCs w:val="20"/>
              </w:rPr>
              <w:t>I22.0, I22.1, I22.8, I22.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9;</w:t>
            </w:r>
            <w:proofErr w:type="gramEnd"/>
          </w:p>
          <w:p w14:paraId="62D23C9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I23</w:t>
            </w:r>
            <w:r w:rsidRPr="007703E6">
              <w:rPr>
                <w:rFonts w:ascii="Arial" w:hAnsi="Arial" w:cs="Arial"/>
                <w:sz w:val="20"/>
                <w:szCs w:val="20"/>
              </w:rPr>
              <w:t>: I23.0, I23.1, I23.2, I23.3, I23.5, I23.6, I23.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8;</w:t>
            </w:r>
            <w:proofErr w:type="gramEnd"/>
          </w:p>
          <w:p w14:paraId="366C0EC1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I24</w:t>
            </w:r>
            <w:r w:rsidRPr="007703E6">
              <w:rPr>
                <w:rFonts w:ascii="Arial" w:hAnsi="Arial" w:cs="Arial"/>
                <w:sz w:val="20"/>
                <w:szCs w:val="20"/>
              </w:rPr>
              <w:t>: I24.1;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I25</w:t>
            </w:r>
            <w:r w:rsidRPr="007703E6">
              <w:rPr>
                <w:rFonts w:ascii="Arial" w:hAnsi="Arial" w:cs="Arial"/>
                <w:sz w:val="20"/>
                <w:szCs w:val="20"/>
              </w:rPr>
              <w:t>: I25.2;</w:t>
            </w:r>
          </w:p>
        </w:tc>
        <w:tc>
          <w:tcPr>
            <w:tcW w:w="1680" w:type="dxa"/>
          </w:tcPr>
          <w:p w14:paraId="6A7ED309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410</w:t>
            </w:r>
            <w:r w:rsidRPr="007703E6">
              <w:rPr>
                <w:rFonts w:ascii="Arial" w:hAnsi="Arial" w:cs="Arial"/>
                <w:sz w:val="20"/>
                <w:szCs w:val="20"/>
              </w:rPr>
              <w:t>: 410.9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411</w:t>
            </w:r>
            <w:r w:rsidRPr="007703E6">
              <w:rPr>
                <w:rFonts w:ascii="Arial" w:hAnsi="Arial" w:cs="Arial"/>
                <w:sz w:val="20"/>
                <w:szCs w:val="20"/>
              </w:rPr>
              <w:t>: 411.9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412</w:t>
            </w:r>
            <w:r w:rsidRPr="007703E6">
              <w:rPr>
                <w:rFonts w:ascii="Arial" w:hAnsi="Arial" w:cs="Arial"/>
                <w:sz w:val="20"/>
                <w:szCs w:val="20"/>
              </w:rPr>
              <w:t>: 412.9</w:t>
            </w:r>
          </w:p>
        </w:tc>
        <w:tc>
          <w:tcPr>
            <w:tcW w:w="2592" w:type="dxa"/>
          </w:tcPr>
          <w:p w14:paraId="1E72E0B4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K40</w:t>
            </w:r>
            <w:r w:rsidRPr="007703E6">
              <w:rPr>
                <w:rFonts w:ascii="Arial" w:hAnsi="Arial" w:cs="Arial"/>
                <w:sz w:val="20"/>
                <w:szCs w:val="20"/>
              </w:rPr>
              <w:t>: K40.1, K40.2, K40.3, K40.4, K40.8, K40.9</w:t>
            </w:r>
          </w:p>
          <w:p w14:paraId="38232A77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K41</w:t>
            </w:r>
            <w:r w:rsidRPr="007703E6">
              <w:rPr>
                <w:rFonts w:ascii="Arial" w:hAnsi="Arial" w:cs="Arial"/>
                <w:sz w:val="20"/>
                <w:szCs w:val="20"/>
              </w:rPr>
              <w:t>: K41.1, K41.2, K41.3, K41.4, K41.8, K41.9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K45</w:t>
            </w:r>
            <w:r w:rsidRPr="007703E6">
              <w:rPr>
                <w:rFonts w:ascii="Arial" w:hAnsi="Arial" w:cs="Arial"/>
                <w:sz w:val="20"/>
                <w:szCs w:val="20"/>
              </w:rPr>
              <w:t>: K45.1, K45.2, K45.3, K45.4, K45.5, K45.6, K45.8, K45.9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K49</w:t>
            </w:r>
            <w:r w:rsidRPr="007703E6">
              <w:rPr>
                <w:rFonts w:ascii="Arial" w:hAnsi="Arial" w:cs="Arial"/>
                <w:sz w:val="20"/>
                <w:szCs w:val="20"/>
              </w:rPr>
              <w:t>: K49.1, K49.2, K49.3, K49.4, K49.8, K49.9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K50</w:t>
            </w:r>
            <w:r w:rsidRPr="007703E6">
              <w:rPr>
                <w:rFonts w:ascii="Arial" w:hAnsi="Arial" w:cs="Arial"/>
                <w:sz w:val="20"/>
                <w:szCs w:val="20"/>
              </w:rPr>
              <w:t>: K50.2</w:t>
            </w:r>
          </w:p>
          <w:p w14:paraId="3820DF3D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K75</w:t>
            </w:r>
            <w:r w:rsidRPr="007703E6">
              <w:rPr>
                <w:rFonts w:ascii="Arial" w:hAnsi="Arial" w:cs="Arial"/>
                <w:sz w:val="20"/>
                <w:szCs w:val="20"/>
              </w:rPr>
              <w:t>: K75.1, K75.2, K75.3, K75.4, K75.8, K75.9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1773" w:type="dxa"/>
          </w:tcPr>
          <w:p w14:paraId="6020EFFD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1075 (“heart attack/myocardial infarction”);</w:t>
            </w:r>
          </w:p>
        </w:tc>
        <w:tc>
          <w:tcPr>
            <w:tcW w:w="2181" w:type="dxa"/>
          </w:tcPr>
          <w:p w14:paraId="6AA3AC07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1070 (“Coronary angioplasty (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ptca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>) +/- stent”),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>1095 (“Coronary artery bypass grafts (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cabg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>)”),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>1523 (“Triple heart bypass”);</w:t>
            </w:r>
          </w:p>
        </w:tc>
      </w:tr>
      <w:tr w:rsidR="00E63AF6" w:rsidRPr="007703E6" w14:paraId="448B79F9" w14:textId="77777777" w:rsidTr="00E63AF6">
        <w:trPr>
          <w:trHeight w:val="440"/>
        </w:trPr>
        <w:tc>
          <w:tcPr>
            <w:tcW w:w="1788" w:type="dxa"/>
          </w:tcPr>
          <w:p w14:paraId="65EF229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Peripheral artery disease</w:t>
            </w:r>
          </w:p>
        </w:tc>
        <w:tc>
          <w:tcPr>
            <w:tcW w:w="2936" w:type="dxa"/>
          </w:tcPr>
          <w:p w14:paraId="220E26F0" w14:textId="77777777" w:rsidR="00E63AF6" w:rsidRPr="007703E6" w:rsidRDefault="00E63AF6" w:rsidP="002E5A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I70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I70.0, I70.00, I70.01, I70.2, I70.20, I70.21, I70.8, I70.80, I70.9, I70.</w:t>
            </w:r>
            <w:proofErr w:type="gramStart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90;</w:t>
            </w:r>
            <w:proofErr w:type="gramEnd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3F88E3F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I73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I73.8, I73.</w:t>
            </w:r>
            <w:proofErr w:type="gramStart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9;</w:t>
            </w:r>
            <w:proofErr w:type="gramEnd"/>
          </w:p>
          <w:p w14:paraId="4175BE2F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0" w:type="dxa"/>
          </w:tcPr>
          <w:p w14:paraId="5D0DECD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440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: 440.0,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440.2;</w:t>
            </w:r>
            <w:proofErr w:type="gramEnd"/>
          </w:p>
          <w:p w14:paraId="7A44A150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443</w:t>
            </w:r>
            <w:r w:rsidRPr="007703E6">
              <w:rPr>
                <w:rFonts w:ascii="Arial" w:hAnsi="Arial" w:cs="Arial"/>
                <w:sz w:val="20"/>
                <w:szCs w:val="20"/>
              </w:rPr>
              <w:t>: 443.8, 443.9;</w:t>
            </w:r>
          </w:p>
        </w:tc>
        <w:tc>
          <w:tcPr>
            <w:tcW w:w="2592" w:type="dxa"/>
          </w:tcPr>
          <w:p w14:paraId="35ED81C2" w14:textId="77777777" w:rsidR="00E63AF6" w:rsidRPr="007703E6" w:rsidRDefault="00E63AF6" w:rsidP="002E5A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L21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L21.</w:t>
            </w:r>
            <w:proofErr w:type="gramStart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6;</w:t>
            </w:r>
            <w:proofErr w:type="gramEnd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397C784" w14:textId="77777777" w:rsidR="00E63AF6" w:rsidRPr="007703E6" w:rsidRDefault="00E63AF6" w:rsidP="002E5A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L51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: L51.3, L51.6, L51.8; </w:t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L52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: L52.1, L52.2; 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L54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: L54.1, L54.4, L54.8; 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L59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L59.1, L59.2, L59.3, L59.4, L59.5, L59.6, L59.7, L59.8;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L60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 xml:space="preserve">: L60.1, L60.2, 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L63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L63.1; L63.5, L63.9;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L66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L66.7;</w:t>
            </w:r>
          </w:p>
          <w:p w14:paraId="20CDFD34" w14:textId="77777777" w:rsidR="00E63AF6" w:rsidRPr="007703E6" w:rsidRDefault="00E63AF6" w:rsidP="002E5A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X09</w:t>
            </w:r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: X09.3, X09.4, X09.</w:t>
            </w:r>
            <w:proofErr w:type="gramStart"/>
            <w:r w:rsidRPr="007703E6">
              <w:rPr>
                <w:rFonts w:ascii="Arial" w:hAnsi="Arial" w:cs="Arial"/>
                <w:color w:val="000000"/>
                <w:sz w:val="20"/>
                <w:szCs w:val="20"/>
              </w:rPr>
              <w:t>5;</w:t>
            </w:r>
            <w:proofErr w:type="gramEnd"/>
          </w:p>
          <w:p w14:paraId="19777D19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</w:tcPr>
          <w:p w14:paraId="1806ED5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1067 (“Peripheral vascular disease”),</w:t>
            </w:r>
          </w:p>
          <w:p w14:paraId="5CCB0FF8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1087 (“leg claudication/ intermittent claudication”)</w:t>
            </w:r>
          </w:p>
          <w:p w14:paraId="75308B3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1088 (“arterial embolism”)</w:t>
            </w:r>
          </w:p>
        </w:tc>
        <w:tc>
          <w:tcPr>
            <w:tcW w:w="2181" w:type="dxa"/>
          </w:tcPr>
          <w:p w14:paraId="625A7D7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1102 (“Fem-pop bypass/leg artery bypass”),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>1108 (“Leg artery angioplasty +/- stent”),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  <w:t>1440 (“Amputation of leg”);</w:t>
            </w:r>
          </w:p>
        </w:tc>
      </w:tr>
      <w:tr w:rsidR="00E63AF6" w:rsidRPr="007703E6" w14:paraId="400D1AD8" w14:textId="77777777" w:rsidTr="00E63AF6">
        <w:trPr>
          <w:trHeight w:val="239"/>
        </w:trPr>
        <w:tc>
          <w:tcPr>
            <w:tcW w:w="1788" w:type="dxa"/>
          </w:tcPr>
          <w:p w14:paraId="35D30D17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Stroke</w:t>
            </w:r>
          </w:p>
        </w:tc>
        <w:tc>
          <w:tcPr>
            <w:tcW w:w="2936" w:type="dxa"/>
          </w:tcPr>
          <w:p w14:paraId="7CA9F7B4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I60</w:t>
            </w:r>
            <w:r w:rsidRPr="007703E6">
              <w:rPr>
                <w:rFonts w:ascii="Arial" w:hAnsi="Arial" w:cs="Arial"/>
                <w:sz w:val="20"/>
                <w:szCs w:val="20"/>
              </w:rPr>
              <w:t>: I60.0, I60.1, I60.2, I60.3, I60.4, I60.5, I60.6, I60.7, I60.8, I60.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9;</w:t>
            </w:r>
            <w:proofErr w:type="gramEnd"/>
          </w:p>
          <w:p w14:paraId="1F90B81E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I61</w:t>
            </w:r>
            <w:r w:rsidRPr="007703E6">
              <w:rPr>
                <w:rFonts w:ascii="Arial" w:hAnsi="Arial" w:cs="Arial"/>
                <w:sz w:val="20"/>
                <w:szCs w:val="20"/>
              </w:rPr>
              <w:t>: I61.0, I61.1, I61.2, I61.3, I61.4, I61.5, I61.6, I61.8, I61.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9;</w:t>
            </w:r>
            <w:proofErr w:type="gramEnd"/>
          </w:p>
          <w:p w14:paraId="0DF416D1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I63</w:t>
            </w:r>
            <w:r w:rsidRPr="007703E6">
              <w:rPr>
                <w:rFonts w:ascii="Arial" w:hAnsi="Arial" w:cs="Arial"/>
                <w:sz w:val="20"/>
                <w:szCs w:val="20"/>
              </w:rPr>
              <w:t>: I63.0, I63.1, I63.2, I63.3, I63.4, I63.5, I63.6, I63.8, I61.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9;</w:t>
            </w:r>
            <w:proofErr w:type="gramEnd"/>
          </w:p>
          <w:p w14:paraId="681C0114" w14:textId="77777777" w:rsidR="00E63AF6" w:rsidRPr="007703E6" w:rsidRDefault="00E63AF6" w:rsidP="002E5A2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I64;</w:t>
            </w:r>
          </w:p>
        </w:tc>
        <w:tc>
          <w:tcPr>
            <w:tcW w:w="1680" w:type="dxa"/>
          </w:tcPr>
          <w:p w14:paraId="15623C1A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430</w:t>
            </w:r>
            <w:r w:rsidRPr="007703E6">
              <w:rPr>
                <w:rFonts w:ascii="Arial" w:hAnsi="Arial" w:cs="Arial"/>
                <w:sz w:val="20"/>
                <w:szCs w:val="20"/>
              </w:rPr>
              <w:t>: 430.9;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431</w:t>
            </w:r>
            <w:r w:rsidRPr="007703E6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431.9;</w:t>
            </w:r>
            <w:proofErr w:type="gramEnd"/>
          </w:p>
          <w:p w14:paraId="74A87122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434</w:t>
            </w:r>
            <w:r w:rsidRPr="007703E6">
              <w:rPr>
                <w:rFonts w:ascii="Arial" w:hAnsi="Arial" w:cs="Arial"/>
                <w:sz w:val="20"/>
                <w:szCs w:val="20"/>
              </w:rPr>
              <w:t>: 434.9;</w:t>
            </w:r>
            <w:r w:rsidRPr="007703E6">
              <w:rPr>
                <w:rFonts w:ascii="Arial" w:hAnsi="Arial" w:cs="Arial"/>
                <w:sz w:val="20"/>
                <w:szCs w:val="20"/>
              </w:rPr>
              <w:br/>
            </w:r>
            <w:r w:rsidRPr="007703E6">
              <w:rPr>
                <w:rFonts w:ascii="Arial" w:hAnsi="Arial" w:cs="Arial"/>
                <w:b/>
                <w:bCs/>
                <w:sz w:val="20"/>
                <w:szCs w:val="20"/>
              </w:rPr>
              <w:t>436</w:t>
            </w:r>
            <w:r w:rsidRPr="007703E6">
              <w:rPr>
                <w:rFonts w:ascii="Arial" w:hAnsi="Arial" w:cs="Arial"/>
                <w:sz w:val="20"/>
                <w:szCs w:val="20"/>
              </w:rPr>
              <w:t>: 434.9;</w:t>
            </w:r>
          </w:p>
        </w:tc>
        <w:tc>
          <w:tcPr>
            <w:tcW w:w="2592" w:type="dxa"/>
          </w:tcPr>
          <w:p w14:paraId="7D090E53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773" w:type="dxa"/>
          </w:tcPr>
          <w:p w14:paraId="5F77726C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1081 (“stroke”),</w:t>
            </w:r>
          </w:p>
          <w:p w14:paraId="046D8536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1086 (“subarachnoid 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haemorrhage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>”),</w:t>
            </w:r>
          </w:p>
          <w:p w14:paraId="789C1246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 xml:space="preserve">1491 (“brain 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haemorrhage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>”),</w:t>
            </w:r>
          </w:p>
          <w:p w14:paraId="16760756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1583 (“</w:t>
            </w:r>
            <w:proofErr w:type="spellStart"/>
            <w:r w:rsidRPr="007703E6">
              <w:rPr>
                <w:rFonts w:ascii="Arial" w:hAnsi="Arial" w:cs="Arial"/>
                <w:sz w:val="20"/>
                <w:szCs w:val="20"/>
              </w:rPr>
              <w:t>ischaemic</w:t>
            </w:r>
            <w:proofErr w:type="spellEnd"/>
            <w:r w:rsidRPr="007703E6">
              <w:rPr>
                <w:rFonts w:ascii="Arial" w:hAnsi="Arial" w:cs="Arial"/>
                <w:sz w:val="20"/>
                <w:szCs w:val="20"/>
              </w:rPr>
              <w:t xml:space="preserve"> stroke”</w:t>
            </w:r>
            <w:proofErr w:type="gramStart"/>
            <w:r w:rsidRPr="007703E6">
              <w:rPr>
                <w:rFonts w:ascii="Arial" w:hAnsi="Arial" w:cs="Arial"/>
                <w:sz w:val="20"/>
                <w:szCs w:val="20"/>
              </w:rPr>
              <w:t>);</w:t>
            </w:r>
            <w:proofErr w:type="gramEnd"/>
          </w:p>
          <w:p w14:paraId="4904241E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1" w:type="dxa"/>
          </w:tcPr>
          <w:p w14:paraId="3EEA5D61" w14:textId="77777777" w:rsidR="00E63AF6" w:rsidRPr="007703E6" w:rsidRDefault="00E63AF6" w:rsidP="002E5A28">
            <w:pPr>
              <w:rPr>
                <w:rFonts w:ascii="Arial" w:hAnsi="Arial" w:cs="Arial"/>
                <w:sz w:val="20"/>
                <w:szCs w:val="20"/>
              </w:rPr>
            </w:pPr>
            <w:r w:rsidRPr="007703E6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</w:tbl>
    <w:p w14:paraId="71BAF7D3" w14:textId="77777777" w:rsidR="002E4D69" w:rsidRDefault="002E4D69"/>
    <w:sectPr w:rsidR="002E4D69" w:rsidSect="008A6AD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D6"/>
    <w:rsid w:val="00011658"/>
    <w:rsid w:val="00017870"/>
    <w:rsid w:val="000528B8"/>
    <w:rsid w:val="000B1AFD"/>
    <w:rsid w:val="000D4797"/>
    <w:rsid w:val="000F7A5F"/>
    <w:rsid w:val="001009CF"/>
    <w:rsid w:val="00126A4F"/>
    <w:rsid w:val="001351E4"/>
    <w:rsid w:val="00173178"/>
    <w:rsid w:val="001E2CA9"/>
    <w:rsid w:val="001E4C4E"/>
    <w:rsid w:val="001E7396"/>
    <w:rsid w:val="0020257D"/>
    <w:rsid w:val="002033AB"/>
    <w:rsid w:val="00231248"/>
    <w:rsid w:val="00275B30"/>
    <w:rsid w:val="0028566B"/>
    <w:rsid w:val="00292D43"/>
    <w:rsid w:val="002C2E57"/>
    <w:rsid w:val="002E4D69"/>
    <w:rsid w:val="00310D6D"/>
    <w:rsid w:val="003476C6"/>
    <w:rsid w:val="003523BA"/>
    <w:rsid w:val="00372817"/>
    <w:rsid w:val="003F2A36"/>
    <w:rsid w:val="003F7294"/>
    <w:rsid w:val="00403F1D"/>
    <w:rsid w:val="00404BB2"/>
    <w:rsid w:val="00410904"/>
    <w:rsid w:val="00433286"/>
    <w:rsid w:val="00434D82"/>
    <w:rsid w:val="00457204"/>
    <w:rsid w:val="004657BB"/>
    <w:rsid w:val="00497E97"/>
    <w:rsid w:val="004E23DD"/>
    <w:rsid w:val="004F05D5"/>
    <w:rsid w:val="005072E5"/>
    <w:rsid w:val="005153C0"/>
    <w:rsid w:val="00550058"/>
    <w:rsid w:val="005655B5"/>
    <w:rsid w:val="00575CC0"/>
    <w:rsid w:val="005A11D2"/>
    <w:rsid w:val="005A1FE2"/>
    <w:rsid w:val="005D2B27"/>
    <w:rsid w:val="005D7E09"/>
    <w:rsid w:val="005E28D8"/>
    <w:rsid w:val="00602A1F"/>
    <w:rsid w:val="006139AE"/>
    <w:rsid w:val="00613D8E"/>
    <w:rsid w:val="00685E83"/>
    <w:rsid w:val="00697C9A"/>
    <w:rsid w:val="006A1C2C"/>
    <w:rsid w:val="00706F77"/>
    <w:rsid w:val="007243E1"/>
    <w:rsid w:val="007315CE"/>
    <w:rsid w:val="007921B6"/>
    <w:rsid w:val="007C2D2A"/>
    <w:rsid w:val="007F3A3E"/>
    <w:rsid w:val="007F3FE5"/>
    <w:rsid w:val="00806940"/>
    <w:rsid w:val="0081164A"/>
    <w:rsid w:val="008118FA"/>
    <w:rsid w:val="00861C60"/>
    <w:rsid w:val="0087785D"/>
    <w:rsid w:val="0089499C"/>
    <w:rsid w:val="00897F66"/>
    <w:rsid w:val="008A6AD6"/>
    <w:rsid w:val="008C11F3"/>
    <w:rsid w:val="00942529"/>
    <w:rsid w:val="009623DF"/>
    <w:rsid w:val="0097783C"/>
    <w:rsid w:val="009A5573"/>
    <w:rsid w:val="009A78C5"/>
    <w:rsid w:val="009F010D"/>
    <w:rsid w:val="009F0E59"/>
    <w:rsid w:val="009F41AD"/>
    <w:rsid w:val="00A7074A"/>
    <w:rsid w:val="00AA2D47"/>
    <w:rsid w:val="00AA431E"/>
    <w:rsid w:val="00AA4B76"/>
    <w:rsid w:val="00AB3EF9"/>
    <w:rsid w:val="00AD2236"/>
    <w:rsid w:val="00BB0E41"/>
    <w:rsid w:val="00BB6573"/>
    <w:rsid w:val="00BB7946"/>
    <w:rsid w:val="00BF1734"/>
    <w:rsid w:val="00BF63C7"/>
    <w:rsid w:val="00C02842"/>
    <w:rsid w:val="00C553AC"/>
    <w:rsid w:val="00C64FA1"/>
    <w:rsid w:val="00C732D0"/>
    <w:rsid w:val="00C73B59"/>
    <w:rsid w:val="00CA5EFB"/>
    <w:rsid w:val="00CB71C1"/>
    <w:rsid w:val="00CC57DB"/>
    <w:rsid w:val="00CF6A42"/>
    <w:rsid w:val="00D04BE7"/>
    <w:rsid w:val="00D36170"/>
    <w:rsid w:val="00D47CBF"/>
    <w:rsid w:val="00D541D6"/>
    <w:rsid w:val="00D55441"/>
    <w:rsid w:val="00D5680B"/>
    <w:rsid w:val="00D63D0E"/>
    <w:rsid w:val="00D719BD"/>
    <w:rsid w:val="00D865B7"/>
    <w:rsid w:val="00D94000"/>
    <w:rsid w:val="00DC48D8"/>
    <w:rsid w:val="00DC51A9"/>
    <w:rsid w:val="00E56028"/>
    <w:rsid w:val="00E60E62"/>
    <w:rsid w:val="00E63AF6"/>
    <w:rsid w:val="00E95E2D"/>
    <w:rsid w:val="00F31631"/>
    <w:rsid w:val="00F43B7C"/>
    <w:rsid w:val="00F6079F"/>
    <w:rsid w:val="00F941CD"/>
    <w:rsid w:val="00FA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850E7"/>
  <w15:chartTrackingRefBased/>
  <w15:docId w15:val="{220F7BE8-E7A9-5045-A203-74082D0E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AD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A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A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A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6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6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6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63AF6"/>
    <w:pPr>
      <w:spacing w:after="200"/>
    </w:pPr>
    <w:rPr>
      <w:rFonts w:ascii="Arial" w:hAnsi="Arial"/>
      <w:iCs/>
      <w:color w:val="000000" w:themeColor="text1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Morze</dc:creator>
  <cp:keywords/>
  <dc:description/>
  <cp:lastModifiedBy>Jakub Morze</cp:lastModifiedBy>
  <cp:revision>1</cp:revision>
  <dcterms:created xsi:type="dcterms:W3CDTF">2025-12-11T10:22:00Z</dcterms:created>
  <dcterms:modified xsi:type="dcterms:W3CDTF">2025-12-12T12:13:00Z</dcterms:modified>
</cp:coreProperties>
</file>