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ome-perlara.com"/>
      <w:r>
        <w:t xml:space="preserve">Home — perlara.com</w:t>
      </w:r>
      <w:bookmarkEnd w:id="20"/>
    </w:p>
    <w:p>
      <w:pPr>
        <w:pStyle w:val="BlockText"/>
      </w:pPr>
      <w:r>
        <w:rPr>
          <w:b/>
        </w:rPr>
        <w:t xml:space="preserve">Webflow page: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(Home)</w:t>
      </w:r>
      <w:r>
        <w:t xml:space="preserve"> </w:t>
      </w:r>
      <w:r>
        <w:rPr>
          <w:b/>
        </w:rPr>
        <w:t xml:space="preserve">Body class / data-page: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rPr>
          <w:b/>
        </w:rPr>
        <w:t xml:space="preserve">Hero illustration:</w:t>
      </w:r>
      <w:r>
        <w:t xml:space="preserve"> </w:t>
      </w:r>
      <w:r>
        <w:rPr>
          <w:rStyle w:val="VerbatimChar"/>
        </w:rPr>
        <w:t xml:space="preserve">hero-yeast-to-human.svg</w:t>
      </w:r>
      <w:r>
        <w:t xml:space="preserve"> </w:t>
      </w:r>
      <w:r>
        <w:t xml:space="preserve">(right column of hero grid)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ero"/>
      <w:r>
        <w:t xml:space="preserve">Hero</w:t>
      </w:r>
      <w:bookmarkEnd w:id="21"/>
    </w:p>
    <w:p>
      <w:pPr>
        <w:pStyle w:val="FirstParagraph"/>
      </w:pPr>
      <w:r>
        <w:rPr>
          <w:b/>
        </w:rPr>
        <w:t xml:space="preserve">Eyebrow:</w:t>
      </w:r>
      <w:r>
        <w:t xml:space="preserve"> </w:t>
      </w:r>
      <w:r>
        <w:t xml:space="preserve">Perlara 3.0 · 2025 onward</w:t>
      </w:r>
      <w:r>
        <w:t xml:space="preserve"> </w:t>
      </w:r>
      <w:r>
        <w:rPr>
          <w:b/>
        </w:rPr>
        <w:t xml:space="preserve">Headline (H1):</w:t>
      </w:r>
      <w:r>
        <w:t xml:space="preserve"> </w:t>
      </w:r>
      <w:r>
        <w:t xml:space="preserve">Novel medicines for the metabolic diseases pharma won’t touch.</w:t>
      </w:r>
      <w:r>
        <w:t xml:space="preserve"> </w:t>
      </w:r>
      <w:r>
        <w:rPr>
          <w:b/>
        </w:rPr>
        <w:t xml:space="preserve">Lede:</w:t>
      </w:r>
      <w:r>
        <w:t xml:space="preserve"> </w:t>
      </w:r>
      <w:r>
        <w:t xml:space="preserve">We’re a full-stack drug discovery and development company for inherited metabolic diseases — CDGs, mitochondrial disorders, GPI-anchor defects, tRNA-synthetase syndromes, and the long tail of ultra-rare metabolic biology.</w:t>
      </w:r>
    </w:p>
    <w:p>
      <w:pPr>
        <w:pStyle w:val="BodyText"/>
      </w:pPr>
      <w:r>
        <w:rPr>
          <w:b/>
        </w:rPr>
        <w:t xml:space="preserve">Primary CTA (warm):</w:t>
      </w:r>
      <w:r>
        <w:t xml:space="preserve"> </w:t>
      </w:r>
      <w:r>
        <w:t xml:space="preserve">Explore the pipeline →</w:t>
      </w:r>
      <w:r>
        <w:t xml:space="preserve"> </w:t>
      </w:r>
      <w:r>
        <w:rPr>
          <w:rStyle w:val="VerbatimChar"/>
        </w:rPr>
        <w:t xml:space="preserve">/pipeline</w:t>
      </w:r>
      <w:r>
        <w:t xml:space="preserve"> </w:t>
      </w:r>
      <w:r>
        <w:rPr>
          <w:b/>
        </w:rPr>
        <w:t xml:space="preserve">Secondary CTA:</w:t>
      </w:r>
      <w:r>
        <w:t xml:space="preserve"> </w:t>
      </w:r>
      <w:r>
        <w:t xml:space="preserve">Open data portal →</w:t>
      </w:r>
      <w:r>
        <w:t xml:space="preserve"> </w:t>
      </w:r>
      <w:r>
        <w:rPr>
          <w:rStyle w:val="VerbatimChar"/>
        </w:rPr>
        <w:t xml:space="preserve">/data-portal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tats-strip-4-up"/>
      <w:r>
        <w:t xml:space="preserve">Stats strip (4-up)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IMD yeast models built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8,384</w:t>
            </w:r>
          </w:p>
        </w:tc>
        <w:tc>
          <w:p>
            <w:pPr>
              <w:pStyle w:val="Compact"/>
              <w:jc w:val="left"/>
            </w:pPr>
            <w:r>
              <w:t xml:space="preserve">Compounds profiled to 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  <w:b/>
              </w:rPr>
              <w:t xml:space="preserve">$1.7M</w:t>
            </w:r>
          </w:p>
        </w:tc>
        <w:tc>
          <w:p>
            <w:pPr>
              <w:pStyle w:val="Compact"/>
              <w:jc w:val="left"/>
            </w:pPr>
            <w:r>
              <w:t xml:space="preserve">Direct-to-Phase-II SBIR (Nov 2025)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 yrs</w:t>
            </w:r>
          </w:p>
        </w:tc>
        <w:tc>
          <w:p>
            <w:pPr>
              <w:pStyle w:val="Compact"/>
              <w:jc w:val="left"/>
            </w:pPr>
            <w:r>
              <w:t xml:space="preserve">N-of-1 → Phase III (Maggie’s Pearl)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hy-inherited-metabolic-diseases"/>
      <w:r>
        <w:t xml:space="preserve">Why inherited metabolic diseases</w:t>
      </w:r>
      <w:bookmarkEnd w:id="23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Why inherited metabolic diseases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A category big pharma has systematically declined.</w:t>
      </w:r>
    </w:p>
    <w:p>
      <w:pPr>
        <w:pStyle w:val="BodyText"/>
      </w:pPr>
      <w:r>
        <w:t xml:space="preserve">Inherited metabolic diseases (IMDs) are individually ultra-rare but collectively enormous — about 15% of the world’s ~10,000 rare diseases. Most have a single known gene, a pediatric onset, and no approved therapy. They’re exactly the programs legacy pharma de-prioritizes — and exactly where a yeast-first, patient-partnered approach wins.</w:t>
      </w:r>
    </w:p>
    <w:p>
      <w:pPr>
        <w:pStyle w:val="Heading3"/>
      </w:pPr>
      <w:bookmarkStart w:id="24" w:name="three-card-grid"/>
      <w:r>
        <w:t xml:space="preserve">Three-card grid</w:t>
      </w:r>
      <w:bookmarkEnd w:id="24"/>
    </w:p>
    <w:p>
      <w:pPr>
        <w:pStyle w:val="FirstParagraph"/>
      </w:pPr>
      <w:r>
        <w:rPr>
          <w:b/>
        </w:rPr>
        <w:t xml:space="preserve">Card 1 · Scope — From 12 programs to ~250.</w:t>
      </w:r>
      <w:r>
        <w:t xml:space="preserve"> </w:t>
      </w:r>
      <w:r>
        <w:t xml:space="preserve">Our explicit goal: scale from a dozen active IMD programs today to several hundred over the next decade — a single-digit percent of the addressable IMD universe, but a transformative expansion over status quo.</w:t>
      </w:r>
    </w:p>
    <w:p>
      <w:pPr>
        <w:pStyle w:val="BodyText"/>
      </w:pPr>
      <w:r>
        <w:rPr>
          <w:b/>
        </w:rPr>
        <w:t xml:space="preserve">Card 2 · Mechanism coverage — Mitochondria. Glycosylation. GPI. tRNA.</w:t>
      </w:r>
      <w:r>
        <w:t xml:space="preserve"> </w:t>
      </w:r>
      <w:r>
        <w:t xml:space="preserve">Pharmacological deficiency models of every electron transport chain complex (CI–CV), N-glycosylation defects (PMM2, ALG11, DHDDS), GPI-anchor disorders (PIGN, PIGW), and aminoacyl-tRNA synthetases (NARS1, FARS2, MTAARS2…).</w:t>
      </w:r>
    </w:p>
    <w:p>
      <w:pPr>
        <w:pStyle w:val="BodyText"/>
      </w:pPr>
      <w:r>
        <w:rPr>
          <w:b/>
        </w:rPr>
        <w:t xml:space="preserve">Card 3 · Patient partnership — Families are the platform.</w:t>
      </w:r>
      <w:r>
        <w:t xml:space="preserve"> </w:t>
      </w:r>
      <w:r>
        <w:t xml:space="preserve">Every program is anchored by a specific family or foundation. The yeast screen, the patient-cell validation, the N-of-1 protocol, and the registrational trial — all on one shared timeline.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flagship-maggies-pearl"/>
      <w:r>
        <w:t xml:space="preserve">Flagship — Maggie’s Pearl</w:t>
      </w:r>
      <w:bookmarkEnd w:id="25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Flagship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Maggie’s Pearl — epalrestat for PMM2-CDG.</w:t>
      </w:r>
    </w:p>
    <w:p>
      <w:pPr>
        <w:pStyle w:val="BodyText"/>
      </w:pPr>
      <w:r>
        <w:t xml:space="preserve">A parent-initiated N-of-1 study of a decades-old Japanese diabetic-neuropathy drug became a 40-patient Phase III at Mayo Clinic Minnesota in under three years for less than $5M. That cadence is the Perlara 3.0 standard.</w:t>
      </w:r>
    </w:p>
    <w:p>
      <w:pPr>
        <w:pStyle w:val="Heading3"/>
      </w:pPr>
      <w:bookmarkStart w:id="26" w:name="pull-quote-callout-warm"/>
      <w:r>
        <w:t xml:space="preserve">Pull-quote callout (warm)</w:t>
      </w:r>
      <w:bookmarkEnd w:id="26"/>
    </w:p>
    <w:p>
      <w:pPr>
        <w:pStyle w:val="FirstParagraph"/>
      </w:pPr>
      <w:r>
        <w:rPr>
          <w:b/>
        </w:rPr>
        <w:t xml:space="preserve">Heading:</w:t>
      </w:r>
      <w:r>
        <w:t xml:space="preserve"> </w:t>
      </w:r>
      <w:r>
        <w:t xml:space="preserve">From the Substack post</w:t>
      </w:r>
      <w:r>
        <w:t xml:space="preserve"> </w:t>
      </w:r>
      <w:r>
        <w:t xml:space="preserve">“</w:t>
      </w:r>
      <w:r>
        <w:t xml:space="preserve">Patients are the platform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We went from a single child on compassionate-use epalrestat to a registrational trial in three years on less than $5M in patient-foundation capital. This is what community medicine looks like.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platform-remit-engine"/>
      <w:r>
        <w:t xml:space="preserve">Platform — REMIT engine</w:t>
      </w:r>
      <w:bookmarkEnd w:id="27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Platform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The REMIT engine.</w:t>
      </w:r>
    </w:p>
    <w:p>
      <w:pPr>
        <w:pStyle w:val="BodyText"/>
      </w:pPr>
      <w:r>
        <w:rPr>
          <w:b/>
        </w:rPr>
        <w:t xml:space="preserve">R</w:t>
      </w:r>
      <w:r>
        <w:t xml:space="preserve">epurposing with</w:t>
      </w:r>
      <w:r>
        <w:t xml:space="preserve"> </w:t>
      </w:r>
      <w:r>
        <w:rPr>
          <w:b/>
        </w:rPr>
        <w:t xml:space="preserve">E</w:t>
      </w:r>
      <w:r>
        <w:t xml:space="preserve">ngineered</w:t>
      </w:r>
      <w:r>
        <w:t xml:space="preserve"> </w:t>
      </w:r>
      <w:r>
        <w:rPr>
          <w:b/>
        </w:rPr>
        <w:t xml:space="preserve">M</w:t>
      </w:r>
      <w:r>
        <w:t xml:space="preserve">odels of</w:t>
      </w:r>
      <w:r>
        <w:t xml:space="preserve"> </w:t>
      </w:r>
      <w:r>
        <w:rPr>
          <w:b/>
        </w:rPr>
        <w:t xml:space="preserve">I</w:t>
      </w:r>
      <w:r>
        <w:t xml:space="preserve">nherited metabolic disease</w:t>
      </w:r>
      <w:r>
        <w:t xml:space="preserve"> </w:t>
      </w:r>
      <w:r>
        <w:rPr>
          <w:b/>
        </w:rPr>
        <w:t xml:space="preserve">T</w:t>
      </w:r>
      <w:r>
        <w:t xml:space="preserve">argets. A four-stage engine: build the yeast avatar, screen a standardized library, validate in patient cells, advance through IND-enabling and trials.</w:t>
      </w:r>
    </w:p>
    <w:p>
      <w:pPr>
        <w:pStyle w:val="BodyText"/>
      </w:pPr>
      <w:r>
        <w:rPr>
          <w:b/>
        </w:rPr>
        <w:t xml:space="preserve">Illustration:</w:t>
      </w:r>
      <w:r>
        <w:t xml:space="preserve"> </w:t>
      </w:r>
      <w:r>
        <w:rPr>
          <w:rStyle w:val="VerbatimChar"/>
        </w:rPr>
        <w:t xml:space="preserve">remit-engine.svg</w:t>
      </w:r>
      <w:r>
        <w:t xml:space="preserve"> </w:t>
      </w:r>
      <w:r>
        <w:rPr>
          <w:b/>
        </w:rPr>
        <w:t xml:space="preserve">Caption:</w:t>
      </w:r>
      <w:r>
        <w:t xml:space="preserve"> </w:t>
      </w:r>
      <w:r>
        <w:t xml:space="preserve">REMIT engine · Model → Screen → Validate → Translate</w:t>
      </w:r>
    </w:p>
    <w:p>
      <w:pPr>
        <w:pStyle w:val="BodyText"/>
      </w:pPr>
      <w:r>
        <w:rPr>
          <w:b/>
        </w:rPr>
        <w:t xml:space="preserve">Link:</w:t>
      </w:r>
      <w:r>
        <w:t xml:space="preserve"> </w:t>
      </w:r>
      <w:r>
        <w:t xml:space="preserve">Read the full platform page →</w:t>
      </w:r>
      <w:r>
        <w:t xml:space="preserve"> </w:t>
      </w:r>
      <w:r>
        <w:rPr>
          <w:rStyle w:val="VerbatimChar"/>
        </w:rPr>
        <w:t xml:space="preserve">/pipeline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ecent-from-cure-odysseys-3-up-preview"/>
      <w:r>
        <w:t xml:space="preserve">Recent from Cure Odysseys (3-up preview)</w:t>
      </w:r>
      <w:bookmarkEnd w:id="28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Recent from Cure Odysseys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Notes from the founder.</w:t>
      </w:r>
      <w:r>
        <w:t xml:space="preserve"> </w:t>
      </w:r>
      <w:r>
        <w:rPr>
          <w:b/>
        </w:rPr>
        <w:t xml:space="preserve">Section lede:</w:t>
      </w:r>
      <w:r>
        <w:t xml:space="preserve"> </w:t>
      </w:r>
      <w:r>
        <w:t xml:space="preserve">Our working notebook is Ethan Perlstein’s Substack,</w:t>
      </w:r>
      <w:r>
        <w:t xml:space="preserve"> </w:t>
      </w:r>
      <w:hyperlink r:id="rId29">
        <w:r>
          <w:rPr>
            <w:rStyle w:val="Hyperlink"/>
          </w:rPr>
          <w:t xml:space="preserve">Cure Odysseys</w:t>
        </w:r>
      </w:hyperlink>
      <w:r>
        <w:t xml:space="preserve">, where each Cure Odyssey is a single disease, family, and yeast model moving together through the pipeline.</w:t>
      </w:r>
    </w:p>
    <w:p>
      <w:pPr>
        <w:pStyle w:val="Heading3"/>
      </w:pPr>
      <w:bookmarkStart w:id="30" w:name="card-1-accent-repurposing-surf1"/>
      <w:r>
        <w:t xml:space="preserve">Card 1 · accent · Repurposing · SURF1</w:t>
      </w:r>
      <w:bookmarkEnd w:id="30"/>
    </w:p>
    <w:p>
      <w:pPr>
        <w:pStyle w:val="FirstParagraph"/>
      </w:pPr>
      <w:r>
        <w:rPr>
          <w:b/>
        </w:rPr>
        <w:t xml:space="preserve">Yeast hits validated in patient fibroblasts.</w:t>
      </w:r>
      <w:r>
        <w:t xml:space="preserve"> </w:t>
      </w:r>
      <w:r>
        <w:t xml:space="preserve">Six of twelve top yeast rescuers for SURF1 Leigh Syndrome reproduced in patient fibroblasts — the strongest yeast-to-human translation signal we’ve measured.</w:t>
      </w:r>
    </w:p>
    <w:p>
      <w:pPr>
        <w:pStyle w:val="Heading3"/>
      </w:pPr>
      <w:bookmarkStart w:id="31" w:name="card-2-accent-cdg-gmppa"/>
      <w:r>
        <w:t xml:space="preserve">Card 2 · accent · CDG · GMPPA</w:t>
      </w:r>
      <w:bookmarkEnd w:id="31"/>
    </w:p>
    <w:p>
      <w:pPr>
        <w:pStyle w:val="FirstParagraph"/>
      </w:pPr>
      <w:r>
        <w:rPr>
          <w:b/>
        </w:rPr>
        <w:t xml:space="preserve">Restoring balance to the flux.</w:t>
      </w:r>
      <w:r>
        <w:t xml:space="preserve"> </w:t>
      </w:r>
      <w:r>
        <w:t xml:space="preserve">In GMPPA-CDG, loss of GMPPA causes runaway GMPPB and hypermannosylation. Two wrongs make a right: dosing a GMPPB inhibitor restores flux.</w:t>
      </w:r>
    </w:p>
    <w:p>
      <w:pPr>
        <w:pStyle w:val="Heading3"/>
      </w:pPr>
      <w:bookmarkStart w:id="32" w:name="card-3-accent-pmm2-cdg"/>
      <w:r>
        <w:t xml:space="preserve">Card 3 · accent · PMM2-CDG</w:t>
      </w:r>
      <w:bookmarkEnd w:id="32"/>
    </w:p>
    <w:p>
      <w:pPr>
        <w:pStyle w:val="FirstParagraph"/>
      </w:pPr>
      <w:r>
        <w:rPr>
          <w:b/>
        </w:rPr>
        <w:t xml:space="preserve">Pharma Chameleon — epalrestat for PMM2-CDG.</w:t>
      </w:r>
      <w:r>
        <w:t xml:space="preserve"> </w:t>
      </w:r>
      <w:r>
        <w:t xml:space="preserve">How a Japanese aldose-reductase inhibitor approved for diabetic neuropathy became a glycosylation-rescue drug candidate on its way to Mayo Clinic.</w:t>
      </w:r>
    </w:p>
    <w:p>
      <w:pPr>
        <w:pStyle w:val="BodyText"/>
      </w:pPr>
      <w:r>
        <w:rPr>
          <w:b/>
        </w:rPr>
        <w:t xml:space="preserve">Bottom link:</w:t>
      </w:r>
      <w:r>
        <w:t xml:space="preserve"> </w:t>
      </w:r>
      <w:r>
        <w:t xml:space="preserve">All Cure Odysseys posts →</w:t>
      </w:r>
      <w:r>
        <w:t xml:space="preserve"> </w:t>
      </w:r>
      <w:r>
        <w:rPr>
          <w:rStyle w:val="VerbatimChar"/>
        </w:rPr>
        <w:t xml:space="preserve">/cure-odysseys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footer-shared-across-site"/>
      <w:r>
        <w:t xml:space="preserve">Footer (shared across site)</w:t>
      </w:r>
      <w:bookmarkEnd w:id="33"/>
    </w:p>
    <w:p>
      <w:pPr>
        <w:pStyle w:val="FirstParagraph"/>
      </w:pPr>
      <w:r>
        <w:rPr>
          <w:b/>
        </w:rPr>
        <w:t xml:space="preserve">Brand line:</w:t>
      </w:r>
      <w:r>
        <w:t xml:space="preserve"> </w:t>
      </w:r>
      <w:r>
        <w:t xml:space="preserve">Full-stack drug discovery and development for inherited metabolic diseases. San Francisco, CA.</w:t>
      </w:r>
    </w:p>
    <w:p>
      <w:pPr>
        <w:pStyle w:val="BodyText"/>
      </w:pPr>
      <w:r>
        <w:rPr>
          <w:b/>
        </w:rPr>
        <w:t xml:space="preserve">Explore column:</w:t>
      </w:r>
      <w:r>
        <w:t xml:space="preserve"> </w:t>
      </w:r>
      <w:r>
        <w:t xml:space="preserve">Pipeline · Data portal · Cure Odysseys · About</w:t>
      </w:r>
      <w:r>
        <w:t xml:space="preserve"> </w:t>
      </w:r>
      <w:r>
        <w:rPr>
          <w:b/>
        </w:rPr>
        <w:t xml:space="preserve">Archives column:</w:t>
      </w:r>
      <w:r>
        <w:t xml:space="preserve"> </w:t>
      </w:r>
      <w:hyperlink r:id="rId34">
        <w:r>
          <w:rPr>
            <w:rStyle w:val="Hyperlink"/>
          </w:rPr>
          <w:t xml:space="preserve">Perlara 1.0</w:t>
        </w:r>
      </w:hyperlink>
      <w:r>
        <w:t xml:space="preserve"> </w:t>
      </w:r>
      <w:r>
        <w:t xml:space="preserve">·</w:t>
      </w:r>
      <w:r>
        <w:t xml:space="preserve"> </w:t>
      </w:r>
      <w:hyperlink r:id="rId35">
        <w:r>
          <w:rPr>
            <w:rStyle w:val="Hyperlink"/>
          </w:rPr>
          <w:t xml:space="preserve">Perlara 2.0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Cure Odysseys Substack</w:t>
        </w:r>
      </w:hyperlink>
      <w:r>
        <w:t xml:space="preserve"> </w:t>
      </w:r>
      <w:r>
        <w:rPr>
          <w:b/>
        </w:rPr>
        <w:t xml:space="preserve">Contact column:</w:t>
      </w:r>
      <w:r>
        <w:t xml:space="preserve"> </w:t>
      </w:r>
      <w:hyperlink r:id="rId36">
        <w:r>
          <w:rPr>
            <w:rStyle w:val="Hyperlink"/>
          </w:rPr>
          <w:t xml:space="preserve">Partner with us</w:t>
        </w:r>
      </w:hyperlink>
      <w:r>
        <w:t xml:space="preserve"> </w:t>
      </w:r>
      <w:r>
        <w:t xml:space="preserve">· hello@perlara.com</w:t>
      </w:r>
    </w:p>
    <w:p>
      <w:pPr>
        <w:pStyle w:val="BodyText"/>
      </w:pPr>
      <w:r>
        <w:rPr>
          <w:b/>
        </w:rPr>
        <w:t xml:space="preserve">Footer bottom:</w:t>
      </w:r>
      <w:r>
        <w:t xml:space="preserve"> </w:t>
      </w:r>
      <w:r>
        <w:t xml:space="preserve">© 2026 Perlara PBC · Reference build · Webflow handoff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archive.perlara.com" TargetMode="External" /><Relationship Type="http://schemas.openxmlformats.org/officeDocument/2006/relationships/hyperlink" Id="rId35" Target="https://perlara.com/archive-2-0" TargetMode="External" /><Relationship Type="http://schemas.openxmlformats.org/officeDocument/2006/relationships/hyperlink" Id="rId36" Target="https://perlara.com/contact" TargetMode="External" /><Relationship Type="http://schemas.openxmlformats.org/officeDocument/2006/relationships/hyperlink" Id="rId29" Target="https://www.cureodysseys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4" Target="https://archive.perlara.com" TargetMode="External" /><Relationship Type="http://schemas.openxmlformats.org/officeDocument/2006/relationships/hyperlink" Id="rId35" Target="https://perlara.com/archive-2-0" TargetMode="External" /><Relationship Type="http://schemas.openxmlformats.org/officeDocument/2006/relationships/hyperlink" Id="rId36" Target="https://perlara.com/contact" TargetMode="External" /><Relationship Type="http://schemas.openxmlformats.org/officeDocument/2006/relationships/hyperlink" Id="rId29" Target="https://www.cureodyssey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2026-04-27T21:05:21Z</dcterms:created>
  <dcterms:modified xsi:type="dcterms:W3CDTF">2026-04-27T21:05:21Z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