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latform-pipeline-remit-engine"/>
      <w:r>
        <w:t xml:space="preserve">Platform &amp; Pipeline — REMIT engine</w:t>
      </w:r>
      <w:bookmarkEnd w:id="20"/>
    </w:p>
    <w:p>
      <w:pPr>
        <w:pStyle w:val="BlockText"/>
      </w:pPr>
      <w:r>
        <w:rPr>
          <w:b/>
        </w:rPr>
        <w:t xml:space="preserve">Webflow page: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 </w:t>
      </w:r>
      <w:r>
        <w:rPr>
          <w:b/>
        </w:rPr>
        <w:t xml:space="preserve">Body class / data-page: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rPr>
          <w:b/>
        </w:rPr>
        <w:t xml:space="preserve">Illustrations used:</w:t>
      </w:r>
      <w:r>
        <w:t xml:space="preserve"> </w:t>
      </w:r>
      <w:r>
        <w:rPr>
          <w:rStyle w:val="VerbatimChar"/>
        </w:rPr>
        <w:t xml:space="preserve">remit-engine.svg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mitochondrion.svg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glycan-tree.svg</w:t>
      </w:r>
      <w:r>
        <w:t xml:space="preserve"> </w:t>
      </w:r>
      <w:r>
        <w:rPr>
          <w:b/>
        </w:rPr>
        <w:t xml:space="preserve">CMS Collection:</w:t>
      </w:r>
      <w:r>
        <w:t xml:space="preserve"> </w:t>
      </w:r>
      <w:r>
        <w:rPr>
          <w:rStyle w:val="VerbatimChar"/>
        </w:rPr>
        <w:t xml:space="preserve">Pipeline programs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cms/pipeline-programs.csv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ro"/>
      <w:r>
        <w:t xml:space="preserve">Hero</w:t>
      </w:r>
      <w:bookmarkEnd w:id="21"/>
    </w:p>
    <w:p>
      <w:pPr>
        <w:pStyle w:val="FirstParagraph"/>
      </w:pPr>
      <w:r>
        <w:rPr>
          <w:b/>
        </w:rPr>
        <w:t xml:space="preserve">Eyebrow:</w:t>
      </w:r>
      <w:r>
        <w:t xml:space="preserve"> </w:t>
      </w:r>
      <w:r>
        <w:t xml:space="preserve">Platform</w:t>
      </w:r>
      <w:r>
        <w:t xml:space="preserve"> </w:t>
      </w:r>
      <w:r>
        <w:rPr>
          <w:b/>
        </w:rPr>
        <w:t xml:space="preserve">Headline (H1):</w:t>
      </w:r>
      <w:r>
        <w:t xml:space="preserve"> </w:t>
      </w:r>
      <w:r>
        <w:t xml:space="preserve">REMIT — Repurposing with Engineered Models of IMD Targets.</w:t>
      </w:r>
      <w:r>
        <w:t xml:space="preserve"> </w:t>
      </w:r>
      <w:r>
        <w:rPr>
          <w:b/>
        </w:rPr>
        <w:t xml:space="preserve">Lede:</w:t>
      </w:r>
      <w:r>
        <w:t xml:space="preserve"> </w:t>
      </w:r>
      <w:r>
        <w:t xml:space="preserve">A vertically integrated engine for inherited metabolic diseases: build a humanized yeast avatar, screen a standardized library of ~8,400 compounds, validate hits in patient cells, and translate into a registrational trial alongside the family and foundation that brought us the program.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he-four-stages"/>
      <w:r>
        <w:t xml:space="preserve">The four stages</w:t>
      </w:r>
      <w:bookmarkEnd w:id="22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Platform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The four stages.</w:t>
      </w:r>
      <w:r>
        <w:t xml:space="preserve"> </w:t>
      </w:r>
      <w:r>
        <w:rPr>
          <w:b/>
        </w:rPr>
        <w:t xml:space="preserve">Illustration:</w:t>
      </w:r>
      <w:r>
        <w:t xml:space="preserve"> </w:t>
      </w:r>
      <w:r>
        <w:rPr>
          <w:rStyle w:val="VerbatimChar"/>
        </w:rPr>
        <w:t xml:space="preserve">remit-engine.svg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Model → Screen → Validate → Translate</w:t>
      </w:r>
    </w:p>
    <w:p>
      <w:pPr>
        <w:pStyle w:val="Heading3"/>
      </w:pPr>
      <w:bookmarkStart w:id="23" w:name="stages-table"/>
      <w:r>
        <w:t xml:space="preserve">Stages table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01 · Model</w:t>
            </w:r>
          </w:p>
        </w:tc>
        <w:tc>
          <w:p>
            <w:pPr>
              <w:pStyle w:val="Compact"/>
              <w:jc w:val="left"/>
            </w:pPr>
            <w:r>
              <w:t xml:space="preserve">Humanized yeast strain (</w:t>
            </w:r>
            <w:r>
              <w:rPr>
                <w:i/>
              </w:rPr>
              <w:t xml:space="preserve">S. cerevisiae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</w:rPr>
              <w:t xml:space="preserve">Y. lipolytica</w:t>
            </w:r>
            <w:r>
              <w:t xml:space="preserve">) phenocopying the patient variant.</w:t>
            </w:r>
            <w:r>
              <w:t xml:space="preserve"> </w:t>
            </w:r>
            <w:r>
              <w:rPr>
                <w:i/>
              </w:rPr>
              <w:t xml:space="preserve">Y. lipolytica</w:t>
            </w:r>
            <w:r>
              <w:t xml:space="preserve"> </w:t>
            </w:r>
            <w:r>
              <w:t xml:space="preserve">is critical for Complex I.</w:t>
            </w:r>
          </w:p>
        </w:tc>
        <w:tc>
          <w:p>
            <w:pPr>
              <w:pStyle w:val="Compact"/>
              <w:jc w:val="left"/>
            </w:pPr>
            <w:r>
              <w:t xml:space="preserve">Quantifiable growth / respiration phenotype.</w:t>
            </w:r>
          </w:p>
        </w:tc>
        <w:tc>
          <w:p>
            <w:pPr>
              <w:pStyle w:val="Compact"/>
              <w:jc w:val="left"/>
            </w:pPr>
            <w:r>
              <w:t xml:space="preserve">4–12 weeks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02 · Screen</w:t>
            </w:r>
          </w:p>
        </w:tc>
        <w:tc>
          <w:p>
            <w:pPr>
              <w:pStyle w:val="Compact"/>
              <w:jc w:val="left"/>
            </w:pPr>
            <w:r>
              <w:t xml:space="preserve">Profile the ~8,400-compound TargetMol library at multiple doses. Score rescuers (Z ≥ 2.5) and sensitizers (Z ≤ −2.5).</w:t>
            </w:r>
          </w:p>
        </w:tc>
        <w:tc>
          <w:p>
            <w:pPr>
              <w:pStyle w:val="Compact"/>
              <w:jc w:val="left"/>
            </w:pPr>
            <w:r>
              <w:t xml:space="preserve">Ranked hit list with mechanism-of-action context.</w:t>
            </w:r>
          </w:p>
        </w:tc>
        <w:tc>
          <w:p>
            <w:pPr>
              <w:pStyle w:val="Compact"/>
              <w:jc w:val="left"/>
            </w:pPr>
            <w:r>
              <w:t xml:space="preserve">6–10 weeks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03 · Validate</w:t>
            </w:r>
          </w:p>
        </w:tc>
        <w:tc>
          <w:p>
            <w:pPr>
              <w:pStyle w:val="Compact"/>
              <w:jc w:val="left"/>
            </w:pPr>
            <w:r>
              <w:t xml:space="preserve">Test top hits in patient fibroblasts, iPSC-derived neurons, or organoids. Confirm mechanism in an orthogonal assay.</w:t>
            </w:r>
          </w:p>
        </w:tc>
        <w:tc>
          <w:p>
            <w:pPr>
              <w:pStyle w:val="Compact"/>
              <w:jc w:val="left"/>
            </w:pPr>
            <w:r>
              <w:t xml:space="preserve">Translationally-credible compound shortlist. (SURF1: 6/12 hits validated.)</w:t>
            </w:r>
          </w:p>
        </w:tc>
        <w:tc>
          <w:p>
            <w:pPr>
              <w:pStyle w:val="Compact"/>
              <w:jc w:val="left"/>
            </w:pPr>
            <w:r>
              <w:t xml:space="preserve">3–6 months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04 · Translate</w:t>
            </w:r>
            <w:r>
              <w:t xml:space="preserve"> </w:t>
            </w:r>
            <w:r>
              <w:rPr>
                <w:i/>
              </w:rPr>
              <w:t xml:space="preserve">(warm)</w:t>
            </w:r>
          </w:p>
        </w:tc>
        <w:tc>
          <w:p>
            <w:pPr>
              <w:pStyle w:val="Compact"/>
              <w:jc w:val="left"/>
            </w:pPr>
            <w:r>
              <w:t xml:space="preserve">IND-enabling work, compassionate-use, N-of-1, then a registrational trial co-designed with the patient foundation.</w:t>
            </w:r>
          </w:p>
        </w:tc>
        <w:tc>
          <w:p>
            <w:pPr>
              <w:pStyle w:val="Compact"/>
              <w:jc w:val="left"/>
            </w:pPr>
            <w:r>
              <w:t xml:space="preserve">A labeled therapy or strong off-label case.</w:t>
            </w:r>
          </w:p>
        </w:tc>
        <w:tc>
          <w:p>
            <w:pPr>
              <w:pStyle w:val="Compact"/>
              <w:jc w:val="left"/>
            </w:pPr>
            <w:r>
              <w:t xml:space="preserve">18–36 months</w:t>
            </w:r>
          </w:p>
        </w:tc>
      </w:tr>
    </w:tbl>
    <w:p>
      <w:pPr>
        <w:pStyle w:val="Heading3"/>
      </w:pPr>
      <w:bookmarkStart w:id="24" w:name="callout-why-yeast"/>
      <w:r>
        <w:t xml:space="preserve">Callout —</w:t>
      </w:r>
      <w:r>
        <w:t xml:space="preserve"> </w:t>
      </w:r>
      <w:r>
        <w:t xml:space="preserve">“</w:t>
      </w:r>
      <w:r>
        <w:t xml:space="preserve">Why yeast?</w:t>
      </w:r>
      <w:r>
        <w:t xml:space="preserve">”</w:t>
      </w:r>
      <w:bookmarkEnd w:id="24"/>
    </w:p>
    <w:p>
      <w:pPr>
        <w:pStyle w:val="FirstParagraph"/>
      </w:pPr>
      <w:r>
        <w:rPr>
          <w:b/>
        </w:rPr>
        <w:t xml:space="preserve">Heading:</w:t>
      </w:r>
      <w:r>
        <w:t xml:space="preserve"> </w:t>
      </w:r>
      <w:r>
        <w:t xml:space="preserve">Why yeast?</w:t>
      </w:r>
    </w:p>
    <w:p>
      <w:pPr>
        <w:pStyle w:val="BodyText"/>
      </w:pPr>
      <w:r>
        <w:t xml:space="preserve">Yeast has ~30% ortholog overlap with the human Mendelian disease genome, the fastest growth curve of any eukaryote, and — critically — tolerates gene-dose mutations that are lethal in mammalian cells. A campaign that takes a mouse facility 18 months takes us 8 weeks.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itochondrial-focus"/>
      <w:r>
        <w:t xml:space="preserve">Mitochondrial focus</w:t>
      </w:r>
      <w:bookmarkEnd w:id="25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Disease focus · Mitochondrial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Every Complex, every patient.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Mitochondrial disorders affect ~1 in 4,300 children and have essentially no labeled therapies. The Perlara mitochondrial portfolio covers Complexes I–V using</w:t>
      </w:r>
      <w:r>
        <w:t xml:space="preserve"> </w:t>
      </w:r>
      <w:r>
        <w:rPr>
          <w:i/>
        </w:rPr>
        <w:t xml:space="preserve">Yarrowia lipolytica</w:t>
      </w:r>
      <w:r>
        <w:t xml:space="preserve"> </w:t>
      </w:r>
      <w:r>
        <w:t xml:space="preserve">(which uniquely retains a functional Complex I) and</w:t>
      </w:r>
      <w:r>
        <w:t xml:space="preserve"> </w:t>
      </w:r>
      <w:r>
        <w:rPr>
          <w:i/>
        </w:rPr>
        <w:t xml:space="preserve">S. cerevisiae</w:t>
      </w:r>
      <w:r>
        <w:t xml:space="preserve">.</w:t>
      </w:r>
    </w:p>
    <w:p>
      <w:pPr>
        <w:pStyle w:val="BodyText"/>
      </w:pPr>
      <w:r>
        <w:rPr>
          <w:b/>
        </w:rPr>
        <w:t xml:space="preserve">Illustration:</w:t>
      </w:r>
      <w:r>
        <w:t xml:space="preserve"> </w:t>
      </w:r>
      <w:r>
        <w:rPr>
          <w:rStyle w:val="VerbatimChar"/>
        </w:rPr>
        <w:t xml:space="preserve">mitochondrion.svg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ETC Complexes I–V · the SBIR Aim 1 program scope</w:t>
      </w:r>
    </w:p>
    <w:p>
      <w:pPr>
        <w:pStyle w:val="Heading3"/>
      </w:pPr>
      <w:bookmarkStart w:id="26" w:name="three-card-grid"/>
      <w:r>
        <w:t xml:space="preserve">Three-card grid</w:t>
      </w:r>
      <w:bookmarkEnd w:id="26"/>
    </w:p>
    <w:p>
      <w:pPr>
        <w:pStyle w:val="FirstParagraph"/>
      </w:pPr>
      <w:r>
        <w:rPr>
          <w:b/>
        </w:rPr>
        <w:t xml:space="preserve">Card 1 · CIV · SURF1 — SURF1 Leigh Syndrome.</w:t>
      </w:r>
      <w:r>
        <w:t xml:space="preserve"> </w:t>
      </w:r>
      <w:r>
        <w:t xml:space="preserve">Yeast screen complete; 6 of 12 top rescuers reproduced in patient fibroblasts. Currently in IND-enabling planning with Cure Mito Foundation.</w:t>
      </w:r>
    </w:p>
    <w:p>
      <w:pPr>
        <w:pStyle w:val="BodyText"/>
      </w:pPr>
      <w:r>
        <w:rPr>
          <w:b/>
        </w:rPr>
        <w:t xml:space="preserve">Card 2 · CI · NDUFS &amp; allies — Complex I deficiencies.</w:t>
      </w:r>
      <w:r>
        <w:t xml:space="preserve"> </w:t>
      </w:r>
      <w:r>
        <w:rPr>
          <w:i/>
        </w:rPr>
        <w:t xml:space="preserve">Y. lipolytica</w:t>
      </w:r>
      <w:r>
        <w:t xml:space="preserve"> </w:t>
      </w:r>
      <w:r>
        <w:t xml:space="preserve">humanized strains under construction for the most common CI subunits. SBIR Aim 1.</w:t>
      </w:r>
    </w:p>
    <w:p>
      <w:pPr>
        <w:pStyle w:val="BodyText"/>
      </w:pPr>
      <w:r>
        <w:rPr>
          <w:b/>
        </w:rPr>
        <w:t xml:space="preserve">Card 3 · CV · ATP synthase — MT-ATP6, ATP5F1A.</w:t>
      </w:r>
      <w:r>
        <w:t xml:space="preserve"> </w:t>
      </w:r>
      <w:r>
        <w:t xml:space="preserve">Initial yeast strains in design phase. Family partnerships via United Mitochondrial Disease Foundation.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dgs-gpi-focus"/>
      <w:r>
        <w:t xml:space="preserve">CDGs &amp; GPI focus</w:t>
      </w:r>
      <w:bookmarkEnd w:id="27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Disease focus · CDGs &amp; GPI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Every branch of the glycan tree.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Congenital disorders of glycosylation (CDGs) are the prototypical Perlara program: well-defined enzymes, dramatic patient phenotypes, and a tractable yeast model thanks to ~70% pathway conservation.</w:t>
      </w:r>
    </w:p>
    <w:p>
      <w:pPr>
        <w:pStyle w:val="BodyText"/>
      </w:pPr>
      <w:r>
        <w:rPr>
          <w:b/>
        </w:rPr>
        <w:t xml:space="preserve">Illustration:</w:t>
      </w:r>
      <w:r>
        <w:t xml:space="preserve"> </w:t>
      </w:r>
      <w:r>
        <w:rPr>
          <w:rStyle w:val="VerbatimChar"/>
        </w:rPr>
        <w:t xml:space="preserve">glycan-tree.svg</w:t>
      </w:r>
      <w:r>
        <w:t xml:space="preserve"> </w:t>
      </w:r>
      <w:r>
        <w:rPr>
          <w:b/>
        </w:rPr>
        <w:t xml:space="preserve">Caption:</w:t>
      </w:r>
      <w:r>
        <w:t xml:space="preserve"> </w:t>
      </w:r>
      <w:r>
        <w:t xml:space="preserve">N-glycan tree with PMM2 / ALG / DHDDS / PIG defect nodes</w:t>
      </w:r>
    </w:p>
    <w:p>
      <w:pPr>
        <w:pStyle w:val="Heading3"/>
      </w:pPr>
      <w:bookmarkStart w:id="28" w:name="four-card-grid"/>
      <w:r>
        <w:t xml:space="preserve">Four-card grid</w:t>
      </w:r>
      <w:bookmarkEnd w:id="28"/>
    </w:p>
    <w:p>
      <w:pPr>
        <w:pStyle w:val="FirstParagraph"/>
      </w:pPr>
      <w:r>
        <w:rPr>
          <w:b/>
        </w:rPr>
        <w:t xml:space="preserve">Card 1 · warm · CDG · PMM2 — Maggie’s Pearl — epalrestat for PMM2-CDG.</w:t>
      </w:r>
      <w:r>
        <w:t xml:space="preserve"> </w:t>
      </w:r>
      <w:r>
        <w:t xml:space="preserve">The flagship Perlara program. 40-patient Phase III at Mayo Clinic Minnesota; an aldose-reductase inhibitor approved in Japan, repurposed.</w:t>
      </w:r>
    </w:p>
    <w:p>
      <w:pPr>
        <w:pStyle w:val="BodyText"/>
      </w:pPr>
      <w:r>
        <w:rPr>
          <w:b/>
        </w:rPr>
        <w:t xml:space="preserve">Card 2 · CDG · ALG11 — ALG11-CDG.</w:t>
      </w:r>
      <w:r>
        <w:t xml:space="preserve"> </w:t>
      </w:r>
      <w:r>
        <w:t xml:space="preserve">α-1,2 mannosyltransferase deficiency. Yeast avatar in build; screen entering Q3 batch.</w:t>
      </w:r>
    </w:p>
    <w:p>
      <w:pPr>
        <w:pStyle w:val="BodyText"/>
      </w:pPr>
      <w:r>
        <w:rPr>
          <w:b/>
        </w:rPr>
        <w:t xml:space="preserve">Card 3 · GPI-anchor · PIGN, PIGW — PIGN &amp; PIGW Cure Collectives.</w:t>
      </w:r>
      <w:r>
        <w:t xml:space="preserve"> </w:t>
      </w:r>
      <w:r>
        <w:t xml:space="preserve">Multi-family collectives for these GPI-anchor disorders. PIGW screen complete; one parent-driven N-of-1 in protocol design.</w:t>
      </w:r>
    </w:p>
    <w:p>
      <w:pPr>
        <w:pStyle w:val="BodyText"/>
      </w:pPr>
      <w:r>
        <w:rPr>
          <w:b/>
        </w:rPr>
        <w:t xml:space="preserve">Card 4 · Dolichol · DHDDS — DHDDS Cure Odyssey.</w:t>
      </w:r>
      <w:r>
        <w:t xml:space="preserve"> </w:t>
      </w:r>
      <w:r>
        <w:t xml:space="preserve">Dolichol biosynthesis defect. Yeast model active; first batch screen complete.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ull-pipeline-cms-driven-table"/>
      <w:r>
        <w:t xml:space="preserve">Full pipeline (CMS-driven table)</w:t>
      </w:r>
      <w:bookmarkEnd w:id="29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Full pipeline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Programs by stage.</w:t>
      </w:r>
      <w:r>
        <w:t xml:space="preserve"> </w:t>
      </w:r>
      <w:r>
        <w:rPr>
          <w:b/>
        </w:rPr>
        <w:t xml:space="preserve">Section lede:</w:t>
      </w:r>
      <w:r>
        <w:t xml:space="preserve"> </w:t>
      </w:r>
      <w:r>
        <w:t xml:space="preserve">The complete Perlara 3.0 pipeline. Programs marked</w:t>
      </w:r>
      <w:r>
        <w:t xml:space="preserve"> </w:t>
      </w:r>
      <w:r>
        <w:t xml:space="preserve">“</w:t>
      </w:r>
      <w:r>
        <w:t xml:space="preserve">Validate</w:t>
      </w:r>
      <w:r>
        <w:t xml:space="preserve">”</w:t>
      </w:r>
      <w:r>
        <w:t xml:space="preserve"> </w:t>
      </w:r>
      <w:r>
        <w:t xml:space="preserve">have confirmed yeast-to-patient-cell translation;</w:t>
      </w:r>
      <w:r>
        <w:t xml:space="preserve"> </w:t>
      </w:r>
      <w:r>
        <w:t xml:space="preserve">“</w:t>
      </w:r>
      <w:r>
        <w:t xml:space="preserve">Translate</w:t>
      </w:r>
      <w:r>
        <w:t xml:space="preserve">”</w:t>
      </w:r>
      <w:r>
        <w:t xml:space="preserve"> </w:t>
      </w:r>
      <w:r>
        <w:t xml:space="preserve">are in IND-enabling, compassionate-use, or trial-design phase.</w:t>
      </w:r>
    </w:p>
    <w:p>
      <w:pPr>
        <w:pStyle w:val="BlockText"/>
      </w:pPr>
      <w:r>
        <w:rPr>
          <w:b/>
        </w:rPr>
        <w:t xml:space="preserve">Webflow note:</w:t>
      </w:r>
      <w:r>
        <w:t xml:space="preserve"> </w:t>
      </w:r>
      <w:r>
        <w:t xml:space="preserve">structure this table as a CMS Collection (</w:t>
      </w:r>
      <w:r>
        <w:rPr>
          <w:rStyle w:val="VerbatimChar"/>
        </w:rPr>
        <w:t xml:space="preserve">Pipeline programs</w:t>
      </w:r>
      <w:r>
        <w:t xml:space="preserve">) so future updates don’t require copy edits. CSV provided in</w:t>
      </w:r>
      <w:r>
        <w:t xml:space="preserve"> </w:t>
      </w:r>
      <w:r>
        <w:rPr>
          <w:rStyle w:val="VerbatimChar"/>
        </w:rPr>
        <w:t xml:space="preserve">cms/pipeline-programs.csv</w:t>
      </w:r>
      <w:r>
        <w:t xml:space="preserve">. Use Collection List with rows ordered by stage descending.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Gene / 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Maggie’s Pearl</w:t>
            </w:r>
          </w:p>
        </w:tc>
        <w:tc>
          <w:p>
            <w:pPr>
              <w:pStyle w:val="Compact"/>
              <w:jc w:val="left"/>
            </w:pPr>
            <w:r>
              <w:t xml:space="preserve">PMM2-CDG · aldose reductase inhibitor</w:t>
            </w:r>
          </w:p>
        </w:tc>
        <w:tc>
          <w:p>
            <w:pPr>
              <w:pStyle w:val="Compact"/>
              <w:jc w:val="left"/>
            </w:pPr>
            <w:r>
              <w:t xml:space="preserve">04 Translate · Phase III, Mayo Clinic</w:t>
            </w:r>
          </w:p>
        </w:tc>
        <w:tc>
          <w:p>
            <w:pPr>
              <w:pStyle w:val="Compact"/>
              <w:jc w:val="left"/>
            </w:pPr>
            <w:r>
              <w:t xml:space="preserve">Maggie’s Pearl Foundation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SURF1 Leigh Syndrome</w:t>
            </w:r>
          </w:p>
        </w:tc>
        <w:tc>
          <w:p>
            <w:pPr>
              <w:pStyle w:val="Compact"/>
              <w:jc w:val="left"/>
            </w:pPr>
            <w:r>
              <w:t xml:space="preserve">SURF1 · Complex IV assembly</w:t>
            </w:r>
          </w:p>
        </w:tc>
        <w:tc>
          <w:p>
            <w:pPr>
              <w:pStyle w:val="Compact"/>
              <w:jc w:val="left"/>
            </w:pPr>
            <w:r>
              <w:t xml:space="preserve">03 Validate · fibroblast validation done</w:t>
            </w:r>
          </w:p>
        </w:tc>
        <w:tc>
          <w:p>
            <w:pPr>
              <w:pStyle w:val="Compact"/>
              <w:jc w:val="left"/>
            </w:pPr>
            <w:r>
              <w:t xml:space="preserve">Cure Mito Foundation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FOXG1 Cure Odyssey</w:t>
            </w:r>
          </w:p>
        </w:tc>
        <w:tc>
          <w:p>
            <w:pPr>
              <w:pStyle w:val="Compact"/>
              <w:jc w:val="left"/>
            </w:pPr>
            <w:r>
              <w:t xml:space="preserve">FOXG1 syndrome · neurodevelopmental</w:t>
            </w:r>
          </w:p>
        </w:tc>
        <w:tc>
          <w:p>
            <w:pPr>
              <w:pStyle w:val="Compact"/>
              <w:jc w:val="left"/>
            </w:pPr>
            <w:r>
              <w:t xml:space="preserve">02 Screen · hits triaged</w:t>
            </w:r>
          </w:p>
        </w:tc>
        <w:tc>
          <w:p>
            <w:pPr>
              <w:pStyle w:val="Compact"/>
              <w:jc w:val="left"/>
            </w:pPr>
            <w:r>
              <w:t xml:space="preserve">FOXG1 Research Foundation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DHDDS Cure Odyssey</w:t>
            </w:r>
          </w:p>
        </w:tc>
        <w:tc>
          <w:p>
            <w:pPr>
              <w:pStyle w:val="Compact"/>
              <w:jc w:val="left"/>
            </w:pPr>
            <w:r>
              <w:t xml:space="preserve">DHDDS · dolichol biosynthesis</w:t>
            </w:r>
          </w:p>
        </w:tc>
        <w:tc>
          <w:p>
            <w:pPr>
              <w:pStyle w:val="Compact"/>
              <w:jc w:val="left"/>
            </w:pPr>
            <w:r>
              <w:t xml:space="preserve">02 Screen</w:t>
            </w:r>
          </w:p>
        </w:tc>
        <w:tc>
          <w:p>
            <w:pPr>
              <w:pStyle w:val="Compact"/>
              <w:jc w:val="left"/>
            </w:pPr>
            <w:r>
              <w:t xml:space="preserve">Cure DHDDS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NARS1 Cure Odyssey</w:t>
            </w:r>
          </w:p>
        </w:tc>
        <w:tc>
          <w:p>
            <w:pPr>
              <w:pStyle w:val="Compact"/>
              <w:jc w:val="left"/>
            </w:pPr>
            <w:r>
              <w:t xml:space="preserve">NARS1 · asparaginyl-tRNA synthetase</w:t>
            </w:r>
          </w:p>
        </w:tc>
        <w:tc>
          <w:p>
            <w:pPr>
              <w:pStyle w:val="Compact"/>
              <w:jc w:val="left"/>
            </w:pPr>
            <w:r>
              <w:t xml:space="preserve">02 Screen</w:t>
            </w:r>
          </w:p>
        </w:tc>
        <w:tc>
          <w:p>
            <w:pPr>
              <w:pStyle w:val="Compact"/>
              <w:jc w:val="left"/>
            </w:pPr>
            <w:r>
              <w:t xml:space="preserve">NARS1 Cure Alliance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PIGW</w:t>
            </w:r>
          </w:p>
        </w:tc>
        <w:tc>
          <w:p>
            <w:pPr>
              <w:pStyle w:val="Compact"/>
              <w:jc w:val="left"/>
            </w:pPr>
            <w:r>
              <w:t xml:space="preserve">GPI-anchor biosynthesis</w:t>
            </w:r>
          </w:p>
        </w:tc>
        <w:tc>
          <w:p>
            <w:pPr>
              <w:pStyle w:val="Compact"/>
              <w:jc w:val="left"/>
            </w:pPr>
            <w:r>
              <w:t xml:space="preserve">02 Screen · N-of-1 design</w:t>
            </w:r>
          </w:p>
        </w:tc>
        <w:tc>
          <w:p>
            <w:pPr>
              <w:pStyle w:val="Compact"/>
              <w:jc w:val="left"/>
            </w:pPr>
            <w:r>
              <w:t xml:space="preserve">Family-led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PIGN Cure Collective</w:t>
            </w:r>
          </w:p>
        </w:tc>
        <w:tc>
          <w:p>
            <w:pPr>
              <w:pStyle w:val="Compact"/>
              <w:jc w:val="left"/>
            </w:pPr>
            <w:r>
              <w:t xml:space="preserve">GPI-anchor biosynthesis</w:t>
            </w:r>
          </w:p>
        </w:tc>
        <w:tc>
          <w:p>
            <w:pPr>
              <w:pStyle w:val="Compact"/>
              <w:jc w:val="left"/>
            </w:pPr>
            <w:r>
              <w:t xml:space="preserve">02 Screen</w:t>
            </w:r>
          </w:p>
        </w:tc>
        <w:tc>
          <w:p>
            <w:pPr>
              <w:pStyle w:val="Compact"/>
              <w:jc w:val="left"/>
            </w:pPr>
            <w:r>
              <w:t xml:space="preserve">Cure PIGN Collective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ADSL Cure Odyssey</w:t>
            </w:r>
          </w:p>
        </w:tc>
        <w:tc>
          <w:p>
            <w:pPr>
              <w:pStyle w:val="Compact"/>
              <w:jc w:val="left"/>
            </w:pPr>
            <w:r>
              <w:t xml:space="preserve">ADSL · purine biosynthesis</w:t>
            </w:r>
          </w:p>
        </w:tc>
        <w:tc>
          <w:p>
            <w:pPr>
              <w:pStyle w:val="Compact"/>
              <w:jc w:val="left"/>
            </w:pPr>
            <w:r>
              <w:t xml:space="preserve">02 Screen</w:t>
            </w:r>
          </w:p>
        </w:tc>
        <w:tc>
          <w:p>
            <w:pPr>
              <w:pStyle w:val="Compact"/>
              <w:jc w:val="left"/>
            </w:pPr>
            <w:r>
              <w:t xml:space="preserve">ADSL Family Network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ECHS1 Cure Odyssey</w:t>
            </w:r>
          </w:p>
        </w:tc>
        <w:tc>
          <w:p>
            <w:pPr>
              <w:pStyle w:val="Compact"/>
              <w:jc w:val="left"/>
            </w:pPr>
            <w:r>
              <w:t xml:space="preserve">ECHS1 · valine catabolism</w:t>
            </w:r>
          </w:p>
        </w:tc>
        <w:tc>
          <w:p>
            <w:pPr>
              <w:pStyle w:val="Compact"/>
              <w:jc w:val="left"/>
            </w:pPr>
            <w:r>
              <w:t xml:space="preserve">02 Screen</w:t>
            </w:r>
          </w:p>
        </w:tc>
        <w:tc>
          <w:p>
            <w:pPr>
              <w:pStyle w:val="Compact"/>
              <w:jc w:val="left"/>
            </w:pPr>
            <w:r>
              <w:t xml:space="preserve">ECHS1 Alliance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ALG11-CDG</w:t>
            </w:r>
          </w:p>
        </w:tc>
        <w:tc>
          <w:p>
            <w:pPr>
              <w:pStyle w:val="Compact"/>
              <w:jc w:val="left"/>
            </w:pPr>
            <w:r>
              <w:t xml:space="preserve">ALG11 · N-glycosylation</w:t>
            </w:r>
          </w:p>
        </w:tc>
        <w:tc>
          <w:p>
            <w:pPr>
              <w:pStyle w:val="Compact"/>
              <w:jc w:val="left"/>
            </w:pPr>
            <w:r>
              <w:t xml:space="preserve">01 Model</w:t>
            </w:r>
          </w:p>
        </w:tc>
        <w:tc>
          <w:p>
            <w:pPr>
              <w:pStyle w:val="Compact"/>
              <w:jc w:val="left"/>
            </w:pPr>
            <w:r>
              <w:t xml:space="preserve">CDG CARE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ETC Complex I–V suite</w:t>
            </w:r>
          </w:p>
        </w:tc>
        <w:tc>
          <w:p>
            <w:pPr>
              <w:pStyle w:val="Compact"/>
              <w:jc w:val="left"/>
            </w:pPr>
            <w:r>
              <w:t xml:space="preserve">CI / CIV / CV with</w:t>
            </w:r>
            <w:r>
              <w:t xml:space="preserve"> </w:t>
            </w:r>
            <w:r>
              <w:rPr>
                <w:i/>
              </w:rPr>
              <w:t xml:space="preserve">Y. lipolytica</w:t>
            </w:r>
          </w:p>
        </w:tc>
        <w:tc>
          <w:p>
            <w:pPr>
              <w:pStyle w:val="Compact"/>
              <w:jc w:val="left"/>
            </w:pPr>
            <w:r>
              <w:t xml:space="preserve">01 Model · SBIR Aim 1</w:t>
            </w:r>
          </w:p>
        </w:tc>
        <w:tc>
          <w:p>
            <w:pPr>
              <w:pStyle w:val="Compact"/>
              <w:jc w:val="left"/>
            </w:pPr>
            <w:r>
              <w:t xml:space="preserve">SBIR-funded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funding"/>
      <w:r>
        <w:t xml:space="preserve">Funding</w:t>
      </w:r>
      <w:bookmarkEnd w:id="30"/>
    </w:p>
    <w:p>
      <w:pPr>
        <w:pStyle w:val="FirstParagraph"/>
      </w:pPr>
      <w:r>
        <w:rPr>
          <w:b/>
        </w:rPr>
        <w:t xml:space="preserve">Kicker:</w:t>
      </w:r>
      <w:r>
        <w:t xml:space="preserve"> </w:t>
      </w:r>
      <w:r>
        <w:t xml:space="preserve">Funding</w:t>
      </w:r>
      <w:r>
        <w:t xml:space="preserve"> </w:t>
      </w:r>
      <w:r>
        <w:rPr>
          <w:b/>
        </w:rPr>
        <w:t xml:space="preserve">Headline (H2):</w:t>
      </w:r>
      <w:r>
        <w:t xml:space="preserve"> </w:t>
      </w:r>
      <w:r>
        <w:t xml:space="preserve">How the engine is funded.</w:t>
      </w:r>
    </w:p>
    <w:p>
      <w:pPr>
        <w:pStyle w:val="BodyText"/>
      </w:pPr>
      <w:r>
        <w:rPr>
          <w:b/>
        </w:rPr>
        <w:t xml:space="preserve">Card 1 · warm · Nov 2025 — $1.7M SBIR Direct-to-Phase-II.</w:t>
      </w:r>
      <w:r>
        <w:t xml:space="preserve"> </w:t>
      </w:r>
      <w:r>
        <w:t xml:space="preserve">NIH NCATS Direct-to-Phase-II award funds the ETC Complex I–V buildout in</w:t>
      </w:r>
      <w:r>
        <w:t xml:space="preserve"> </w:t>
      </w:r>
      <w:r>
        <w:rPr>
          <w:i/>
        </w:rPr>
        <w:t xml:space="preserve">Yarrowia lipolytica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S. cerevisiae</w:t>
      </w:r>
      <w:r>
        <w:t xml:space="preserve">.</w:t>
      </w:r>
    </w:p>
    <w:p>
      <w:pPr>
        <w:pStyle w:val="BodyText"/>
      </w:pPr>
      <w:r>
        <w:rPr>
          <w:b/>
        </w:rPr>
        <w:t xml:space="preserve">Card 2 · Foundations — Patient foundations as co-investors.</w:t>
      </w:r>
      <w:r>
        <w:t xml:space="preserve"> </w:t>
      </w:r>
      <w:r>
        <w:t xml:space="preserve">Most programs are co-funded by the disease-specific foundation that brought the patient. Examples: Maggie’s Pearl, Cure Mito, FOXG1 Research Foundation.</w:t>
      </w:r>
    </w:p>
    <w:p>
      <w:pPr>
        <w:pStyle w:val="BodyText"/>
      </w:pPr>
      <w:r>
        <w:rPr>
          <w:b/>
        </w:rPr>
        <w:t xml:space="preserve">Card 3 · Networks — CRDF Global &amp; UDN collaborations.</w:t>
      </w:r>
      <w:r>
        <w:t xml:space="preserve"> </w:t>
      </w:r>
      <w:r>
        <w:t xml:space="preserve">The Chan Zuckerberg Rare As One and Undiagnosed Diseases Network feed variant-specific avatar requests directly into the REMIT pipeline.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2026-04-27T21:05:21Z</dcterms:created>
  <dcterms:modified xsi:type="dcterms:W3CDTF">2026-04-27T21:05:21Z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