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ata-portal-public-preview"/>
      <w:r>
        <w:t xml:space="preserve">Data Portal — Public preview</w:t>
      </w:r>
      <w:bookmarkEnd w:id="20"/>
    </w:p>
    <w:p>
      <w:pPr>
        <w:pStyle w:val="BlockText"/>
      </w:pPr>
      <w:r>
        <w:rPr>
          <w:b/>
        </w:rPr>
        <w:t xml:space="preserve">Webflow page:</w:t>
      </w:r>
      <w:r>
        <w:t xml:space="preserve"> </w:t>
      </w:r>
      <w:r>
        <w:rPr>
          <w:rStyle w:val="VerbatimChar"/>
        </w:rPr>
        <w:t xml:space="preserve">/data-portal</w:t>
      </w:r>
      <w:r>
        <w:t xml:space="preserve"> </w:t>
      </w:r>
      <w:r>
        <w:rPr>
          <w:b/>
        </w:rPr>
        <w:t xml:space="preserve">Body class / data-page:</w:t>
      </w:r>
      <w:r>
        <w:t xml:space="preserve"> </w:t>
      </w:r>
      <w:r>
        <w:rPr>
          <w:rStyle w:val="VerbatimChar"/>
        </w:rPr>
        <w:t xml:space="preserve">data-portal</w:t>
      </w:r>
      <w:r>
        <w:t xml:space="preserve"> </w:t>
      </w:r>
      <w:r>
        <w:rPr>
          <w:b/>
        </w:rPr>
        <w:t xml:space="preserve">Embed:</w:t>
      </w:r>
      <w:r>
        <w:t xml:space="preserve"> </w:t>
      </w:r>
      <w:r>
        <w:rPr>
          <w:rStyle w:val="VerbatimChar"/>
        </w:rPr>
        <w:t xml:space="preserve">https://www.perlara.com/perlara-public-dashboard</w:t>
      </w:r>
      <w:r>
        <w:t xml:space="preserve"> </w:t>
      </w:r>
      <w:r>
        <w:t xml:space="preserve">(use Webflow Embed element + iframe-resizer; lock height 1100 px desktop / 780 px mobile, or paste</w:t>
      </w:r>
      <w:r>
        <w:t xml:space="preserve"> </w:t>
      </w:r>
      <w:r>
        <w:rPr>
          <w:rStyle w:val="VerbatimChar"/>
        </w:rPr>
        <w:t xml:space="preserve">embeds/dashboard-iframe-embed.html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ero"/>
      <w:r>
        <w:t xml:space="preserve">Hero</w:t>
      </w:r>
      <w:bookmarkEnd w:id="21"/>
    </w:p>
    <w:p>
      <w:pPr>
        <w:pStyle w:val="FirstParagraph"/>
      </w:pPr>
      <w:r>
        <w:rPr>
          <w:b/>
        </w:rPr>
        <w:t xml:space="preserve">Eyebrow:</w:t>
      </w:r>
      <w:r>
        <w:t xml:space="preserve"> </w:t>
      </w:r>
      <w:r>
        <w:t xml:space="preserve">Data portal · public preview</w:t>
      </w:r>
      <w:r>
        <w:t xml:space="preserve"> </w:t>
      </w:r>
      <w:r>
        <w:rPr>
          <w:b/>
        </w:rPr>
        <w:t xml:space="preserve">Headline (H1):</w:t>
      </w:r>
      <w:r>
        <w:t xml:space="preserve"> </w:t>
      </w:r>
      <w:r>
        <w:t xml:space="preserve">Every model, every compound, every Z-score.</w:t>
      </w:r>
      <w:r>
        <w:t xml:space="preserve"> </w:t>
      </w:r>
      <w:r>
        <w:rPr>
          <w:b/>
        </w:rPr>
        <w:t xml:space="preserve">Lede:</w:t>
      </w:r>
      <w:r>
        <w:t xml:space="preserve"> </w:t>
      </w:r>
      <w:r>
        <w:t xml:space="preserve">Explore the full de-identified screening results across 37 IMD yeast models and 8,384 TargetMol compounds. Compound identities are anonymized (</w:t>
      </w:r>
      <w:r>
        <w:rPr>
          <w:rStyle w:val="VerbatimChar"/>
        </w:rPr>
        <w:t xml:space="preserve">CPD_xxxxx</w:t>
      </w:r>
      <w:r>
        <w:t xml:space="preserve"> </w:t>
      </w:r>
      <w:r>
        <w:t xml:space="preserve">IDs) until IP is filed; all effect sizes, pathway annotations, and dual-condition co-rescue signals are public.</w:t>
      </w:r>
    </w:p>
    <w:p>
      <w:pPr>
        <w:pStyle w:val="BodyText"/>
      </w:pPr>
      <w:r>
        <w:rPr>
          <w:b/>
        </w:rPr>
        <w:t xml:space="preserve">Primary CTA (warm):</w:t>
      </w:r>
      <w:r>
        <w:t xml:space="preserve"> </w:t>
      </w:r>
      <w:r>
        <w:t xml:space="preserve">Open dashboard in new tab →</w:t>
      </w:r>
      <w:r>
        <w:t xml:space="preserve"> </w:t>
      </w:r>
      <w:r>
        <w:rPr>
          <w:rStyle w:val="VerbatimChar"/>
        </w:rPr>
        <w:t xml:space="preserve">https://www.perlara.com/perlara-public-dashboard</w:t>
      </w:r>
      <w:r>
        <w:t xml:space="preserve"> </w:t>
      </w:r>
      <w:r>
        <w:rPr>
          <w:b/>
        </w:rPr>
        <w:t xml:space="preserve">Secondary CTA:</w:t>
      </w:r>
      <w:r>
        <w:t xml:space="preserve"> </w:t>
      </w:r>
      <w:r>
        <w:t xml:space="preserve">Scroll to embed →</w:t>
      </w:r>
      <w:r>
        <w:t xml:space="preserve"> </w:t>
      </w:r>
      <w:r>
        <w:rPr>
          <w:rStyle w:val="VerbatimChar"/>
        </w:rPr>
        <w:t xml:space="preserve">#portal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at-youll-find-5-card-grid"/>
      <w:r>
        <w:t xml:space="preserve">What you’ll find (5-card grid)</w:t>
      </w:r>
      <w:bookmarkEnd w:id="22"/>
    </w:p>
    <w:p>
      <w:pPr>
        <w:pStyle w:val="FirstParagraph"/>
      </w:pPr>
      <w:r>
        <w:rPr>
          <w:b/>
        </w:rPr>
        <w:t xml:space="preserve">Kicker:</w:t>
      </w:r>
      <w:r>
        <w:t xml:space="preserve"> </w:t>
      </w:r>
      <w:r>
        <w:t xml:space="preserve">What you’ll find</w:t>
      </w:r>
      <w:r>
        <w:t xml:space="preserve"> </w:t>
      </w:r>
      <w:r>
        <w:rPr>
          <w:b/>
        </w:rPr>
        <w:t xml:space="preserve">Headline (H2):</w:t>
      </w:r>
      <w:r>
        <w:t xml:space="preserve"> </w:t>
      </w:r>
      <w:r>
        <w:t xml:space="preserve">Five views over one dataset.</w:t>
      </w:r>
    </w:p>
    <w:p>
      <w:pPr>
        <w:pStyle w:val="BodyText"/>
      </w:pPr>
      <w:r>
        <w:rPr>
          <w:b/>
        </w:rPr>
        <w:t xml:space="preserve">Card 1 · Tab 01 — Gene / disease overview.</w:t>
      </w:r>
      <w:r>
        <w:t xml:space="preserve"> </w:t>
      </w:r>
      <w:r>
        <w:t xml:space="preserve">Rescuer and sensitizer counts for all 37 models, dynamic-range scatter, and pathway hit-rate.</w:t>
      </w:r>
    </w:p>
    <w:p>
      <w:pPr>
        <w:pStyle w:val="BodyText"/>
      </w:pPr>
      <w:r>
        <w:rPr>
          <w:b/>
        </w:rPr>
        <w:t xml:space="preserve">Card 2 · Tab 02 — Compound × gene heatmap.</w:t>
      </w:r>
      <w:r>
        <w:t xml:space="preserve"> </w:t>
      </w:r>
      <w:r>
        <w:t xml:space="preserve">Top 300 compounds by dynamic range. Filter by profile class and minimum |Z|.</w:t>
      </w:r>
    </w:p>
    <w:p>
      <w:pPr>
        <w:pStyle w:val="BodyText"/>
      </w:pPr>
      <w:r>
        <w:rPr>
          <w:b/>
        </w:rPr>
        <w:t xml:space="preserve">Card 3 · Tab 03 — Compound explorer.</w:t>
      </w:r>
      <w:r>
        <w:t xml:space="preserve"> </w:t>
      </w:r>
      <w:r>
        <w:t xml:space="preserve">Searchable, sortable table over all 8,384 compounds. Compound identities are redacted.</w:t>
      </w:r>
    </w:p>
    <w:p>
      <w:pPr>
        <w:pStyle w:val="BodyText"/>
      </w:pPr>
      <w:r>
        <w:rPr>
          <w:b/>
        </w:rPr>
        <w:t xml:space="preserve">Card 4 · Tab 04 — Dual-condition pairs.</w:t>
      </w:r>
      <w:r>
        <w:t xml:space="preserve"> </w:t>
      </w:r>
      <w:r>
        <w:t xml:space="preserve">Gene × gene heatmap of shared rescuers and sensitizers — empirical evidence for</w:t>
      </w:r>
      <w:r>
        <w:t xml:space="preserve"> </w:t>
      </w:r>
      <w:r>
        <w:t xml:space="preserve">“</w:t>
      </w:r>
      <w:r>
        <w:t xml:space="preserve">platforms-in-a-pill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Card 5 · Tab 05 — Per-compound fingerprint.</w:t>
      </w:r>
      <w:r>
        <w:t xml:space="preserve"> </w:t>
      </w:r>
      <w:r>
        <w:t xml:space="preserve">37-gene Z-score fingerprint for any compound, plus the Cure Odysseys posts keyed to its top-hit gene.</w:t>
      </w:r>
    </w:p>
    <w:p>
      <w:pPr>
        <w:pStyle w:val="Heading3"/>
      </w:pPr>
      <w:bookmarkStart w:id="23" w:name="callout-warm-public-preview-mode"/>
      <w:r>
        <w:t xml:space="preserve">Callout (warm) — Public-preview mode</w:t>
      </w:r>
      <w:bookmarkEnd w:id="23"/>
    </w:p>
    <w:p>
      <w:pPr>
        <w:pStyle w:val="FirstParagraph"/>
      </w:pPr>
      <w:r>
        <w:t xml:space="preserve">This dashboard is running in public mode: all compound names, SMILES strings, and target annotations are redacted. Every row is keyed by an opaque</w:t>
      </w:r>
      <w:r>
        <w:t xml:space="preserve"> </w:t>
      </w:r>
      <w:r>
        <w:rPr>
          <w:rStyle w:val="VerbatimChar"/>
        </w:rPr>
        <w:t xml:space="preserve">CPD_xxxxx</w:t>
      </w:r>
      <w:r>
        <w:t xml:space="preserve"> </w:t>
      </w:r>
      <w:r>
        <w:t xml:space="preserve">identifier. Perlara team members access the full-fidelity internal version behind SSO.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live-embed"/>
      <w:r>
        <w:t xml:space="preserve">Live embed</w:t>
      </w:r>
      <w:bookmarkEnd w:id="24"/>
    </w:p>
    <w:p>
      <w:pPr>
        <w:pStyle w:val="FirstParagraph"/>
      </w:pPr>
      <w:r>
        <w:rPr>
          <w:b/>
        </w:rPr>
        <w:t xml:space="preserve">Kicker:</w:t>
      </w:r>
      <w:r>
        <w:t xml:space="preserve"> </w:t>
      </w:r>
      <w:r>
        <w:t xml:space="preserve">Live embed</w:t>
      </w:r>
      <w:r>
        <w:t xml:space="preserve"> </w:t>
      </w:r>
      <w:r>
        <w:rPr>
          <w:b/>
        </w:rPr>
        <w:t xml:space="preserve">Headline (H2):</w:t>
      </w:r>
      <w:r>
        <w:t xml:space="preserve"> </w:t>
      </w:r>
      <w:r>
        <w:t xml:space="preserve">Interactive dashboard.</w:t>
      </w:r>
      <w:r>
        <w:t xml:space="preserve"> </w:t>
      </w:r>
      <w:r>
        <w:rPr>
          <w:b/>
        </w:rPr>
        <w:t xml:space="preserve">Section lede:</w:t>
      </w:r>
      <w:r>
        <w:t xml:space="preserve"> </w:t>
      </w:r>
      <w:r>
        <w:t xml:space="preserve">Served from</w:t>
      </w:r>
      <w:r>
        <w:t xml:space="preserve"> </w:t>
      </w:r>
      <w:r>
        <w:rPr>
          <w:rStyle w:val="VerbatimChar"/>
        </w:rPr>
        <w:t xml:space="preserve">perlara.com/perlara-public-dashboard</w:t>
      </w:r>
      <w:r>
        <w:t xml:space="preserve">. If the embed fails to load (e.g. cookie / X-Frame restriction), open it directly in a new tab.</w:t>
      </w:r>
    </w:p>
    <w:p>
      <w:pPr>
        <w:pStyle w:val="BlockText"/>
      </w:pPr>
      <w:r>
        <w:rPr>
          <w:b/>
        </w:rPr>
        <w:t xml:space="preserve">Webflow note:</w:t>
      </w:r>
      <w:r>
        <w:t xml:space="preserve"> </w:t>
      </w:r>
      <w:r>
        <w:t xml:space="preserve">paste the snippet from</w:t>
      </w:r>
      <w:r>
        <w:t xml:space="preserve"> </w:t>
      </w:r>
      <w:r>
        <w:rPr>
          <w:rStyle w:val="VerbatimChar"/>
        </w:rPr>
        <w:t xml:space="preserve">embeds/dashboard-iframe-embed.html</w:t>
      </w:r>
      <w:r>
        <w:t xml:space="preserve"> </w:t>
      </w:r>
      <w:r>
        <w:t xml:space="preserve">into a Webflow Embed element. Lock the height to 1100 px desktop / 780 px mobile, or use iframe-resizer.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how-the-data-was-produced"/>
      <w:r>
        <w:t xml:space="preserve">How the data was produced</w:t>
      </w:r>
      <w:bookmarkEnd w:id="25"/>
    </w:p>
    <w:p>
      <w:pPr>
        <w:pStyle w:val="FirstParagraph"/>
      </w:pPr>
      <w:r>
        <w:rPr>
          <w:b/>
        </w:rPr>
        <w:t xml:space="preserve">Kicker:</w:t>
      </w:r>
      <w:r>
        <w:t xml:space="preserve"> </w:t>
      </w:r>
      <w:r>
        <w:t xml:space="preserve">How the data was produced</w:t>
      </w:r>
      <w:r>
        <w:t xml:space="preserve"> </w:t>
      </w:r>
      <w:r>
        <w:rPr>
          <w:b/>
        </w:rPr>
        <w:t xml:space="preserve">Headline (H2):</w:t>
      </w:r>
      <w:r>
        <w:t xml:space="preserve"> </w:t>
      </w:r>
      <w:r>
        <w:t xml:space="preserve">From wet lab to JSON bundle.</w:t>
      </w:r>
    </w:p>
    <w:p>
      <w:pPr>
        <w:pStyle w:val="BodyText"/>
      </w:pPr>
      <w:r>
        <w:t xml:space="preserve">The dataset behind this portal is batch</w:t>
      </w:r>
      <w:r>
        <w:t xml:space="preserve"> </w:t>
      </w:r>
      <w:r>
        <w:rPr>
          <w:rStyle w:val="VerbatimChar"/>
        </w:rPr>
        <w:t xml:space="preserve">TM_03162026</w:t>
      </w:r>
      <w:r>
        <w:t xml:space="preserve">: 37 humanized yeast models × 8,384 TargetMol compounds, processed through Perlara’s standardized growth-rescue assay. Rescuers are scored at Z ≥ 2.5 and sensitizers at Z ≤ −2.5 relative to DMSO control. Each row in the heatmap is one compound; each column is one disease model.</w:t>
      </w:r>
    </w:p>
    <w:p>
      <w:pPr>
        <w:pStyle w:val="BodyText"/>
      </w:pPr>
      <w:r>
        <w:t xml:space="preserve">The portal is rebuilt automatically after every screening batch. Compound-level de-identification is applied at preprocessing — names, SMILES, and explicit targets never reach the public bundle.</w:t>
      </w:r>
    </w:p>
    <w:p>
      <w:pPr>
        <w:pStyle w:val="Heading3"/>
      </w:pPr>
      <w:bookmarkStart w:id="26" w:name="dataset-at-a-glance"/>
      <w:r>
        <w:t xml:space="preserve">Dataset at a glance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TM_03162026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p>
            <w:pPr>
              <w:pStyle w:val="Compact"/>
              <w:jc w:val="left"/>
            </w:pPr>
            <w:r>
              <w:t xml:space="preserve">37 humanized yeast strains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Compounds</w:t>
            </w:r>
          </w:p>
        </w:tc>
        <w:tc>
          <w:p>
            <w:pPr>
              <w:pStyle w:val="Compact"/>
              <w:jc w:val="left"/>
            </w:pPr>
            <w:r>
              <w:t xml:space="preserve">8,384 (TargetMol standardized library)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Rescuer threshold</w:t>
            </w:r>
          </w:p>
        </w:tc>
        <w:tc>
          <w:p>
            <w:pPr>
              <w:pStyle w:val="Compact"/>
              <w:jc w:val="left"/>
            </w:pPr>
            <w:r>
              <w:t xml:space="preserve">Z ≥ 2.5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Sensitizer threshold</w:t>
            </w:r>
          </w:p>
        </w:tc>
        <w:tc>
          <w:p>
            <w:pPr>
              <w:pStyle w:val="Compact"/>
              <w:jc w:val="left"/>
            </w:pPr>
            <w:r>
              <w:t xml:space="preserve">Z ≤ −2.5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mode</w:t>
            </w:r>
          </w:p>
        </w:tc>
        <w:tc>
          <w:p>
            <w:pPr>
              <w:pStyle w:val="Compact"/>
              <w:jc w:val="left"/>
            </w:pPr>
            <w:r>
              <w:t xml:space="preserve">Public preview (compound-level redaction)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2026-04-27T21:05:21Z</dcterms:created>
  <dcterms:modified xsi:type="dcterms:W3CDTF">2026-04-27T21:05:21Z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