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ure-odysseys-working-notebook-digest"/>
      <w:r>
        <w:t xml:space="preserve">Cure Odysseys — Working notebook digest</w:t>
      </w:r>
      <w:bookmarkEnd w:id="20"/>
    </w:p>
    <w:p>
      <w:pPr>
        <w:pStyle w:val="BlockText"/>
      </w:pPr>
      <w:r>
        <w:rPr>
          <w:b/>
        </w:rPr>
        <w:t xml:space="preserve">Webflow page:</w:t>
      </w:r>
      <w:r>
        <w:t xml:space="preserve"> </w:t>
      </w:r>
      <w:r>
        <w:rPr>
          <w:rStyle w:val="VerbatimChar"/>
        </w:rPr>
        <w:t xml:space="preserve">/cure-odysseys</w:t>
      </w:r>
      <w:r>
        <w:t xml:space="preserve"> </w:t>
      </w:r>
      <w:r>
        <w:rPr>
          <w:b/>
        </w:rPr>
        <w:t xml:space="preserve">Body class / data-page:</w:t>
      </w:r>
      <w:r>
        <w:t xml:space="preserve"> </w:t>
      </w:r>
      <w:r>
        <w:rPr>
          <w:rStyle w:val="VerbatimChar"/>
        </w:rPr>
        <w:t xml:space="preserve">cure-odysseys</w:t>
      </w:r>
      <w:r>
        <w:t xml:space="preserve"> </w:t>
      </w:r>
      <w:r>
        <w:rPr>
          <w:b/>
        </w:rPr>
        <w:t xml:space="preserve">CMS Collection:</w:t>
      </w:r>
      <w:r>
        <w:t xml:space="preserve"> </w:t>
      </w:r>
      <w:r>
        <w:rPr>
          <w:rStyle w:val="VerbatimChar"/>
        </w:rPr>
        <w:t xml:space="preserve">Cure Odysseys posts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cms/cure-odysseys-posts.csv</w:t>
      </w:r>
      <w:r>
        <w:t xml:space="preserve">)</w:t>
      </w:r>
      <w:r>
        <w:t xml:space="preserve"> </w:t>
      </w:r>
      <w:r>
        <w:rPr>
          <w:b/>
        </w:rPr>
        <w:t xml:space="preserve">Optional integration:</w:t>
      </w:r>
      <w:r>
        <w:t xml:space="preserve"> </w:t>
      </w:r>
      <w:r>
        <w:t xml:space="preserve">wire to Substack RSS feed</w:t>
      </w:r>
      <w:r>
        <w:t xml:space="preserve"> </w:t>
      </w:r>
      <w:r>
        <w:rPr>
          <w:rStyle w:val="VerbatimChar"/>
        </w:rPr>
        <w:t xml:space="preserve">https://perlara.substack.com/feed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ero"/>
      <w:r>
        <w:t xml:space="preserve">Hero</w:t>
      </w:r>
      <w:bookmarkEnd w:id="21"/>
    </w:p>
    <w:p>
      <w:pPr>
        <w:pStyle w:val="FirstParagraph"/>
      </w:pPr>
      <w:r>
        <w:rPr>
          <w:b/>
        </w:rPr>
        <w:t xml:space="preserve">Eyebrow:</w:t>
      </w:r>
      <w:r>
        <w:t xml:space="preserve"> </w:t>
      </w:r>
      <w:r>
        <w:t xml:space="preserve">Cure Odysseys · working notebook</w:t>
      </w:r>
      <w:r>
        <w:t xml:space="preserve"> </w:t>
      </w:r>
      <w:r>
        <w:rPr>
          <w:b/>
        </w:rPr>
        <w:t xml:space="preserve">Headline (H1):</w:t>
      </w:r>
      <w:r>
        <w:t xml:space="preserve"> </w:t>
      </w:r>
      <w:r>
        <w:t xml:space="preserve">A public notebook, one disease at a time.</w:t>
      </w:r>
      <w:r>
        <w:t xml:space="preserve"> </w:t>
      </w:r>
      <w:r>
        <w:rPr>
          <w:b/>
        </w:rPr>
        <w:t xml:space="preserve">Lede:</w:t>
      </w:r>
      <w:r>
        <w:t xml:space="preserve"> </w:t>
      </w:r>
      <w:hyperlink r:id="rId22">
        <w:r>
          <w:rPr>
            <w:rStyle w:val="Hyperlink"/>
          </w:rPr>
          <w:t xml:space="preserve">Cure Odysseys</w:t>
        </w:r>
      </w:hyperlink>
      <w:r>
        <w:t xml:space="preserve"> </w:t>
      </w:r>
      <w:r>
        <w:t xml:space="preserve">is the Substack where Ethan Perlstein writes the inside view of each Perlara program: the family, the yeast model, the hit list, the N-of-1 protocol, and what fails. It doubles as our real-time lab notebook — not a marketing channel.</w:t>
      </w:r>
    </w:p>
    <w:p>
      <w:pPr>
        <w:pStyle w:val="BodyText"/>
      </w:pPr>
      <w:r>
        <w:rPr>
          <w:b/>
        </w:rPr>
        <w:t xml:space="preserve">Primary CTA (warm):</w:t>
      </w:r>
      <w:r>
        <w:t xml:space="preserve"> </w:t>
      </w:r>
      <w:r>
        <w:t xml:space="preserve">Subscribe on Substack →</w:t>
      </w:r>
      <w:r>
        <w:t xml:space="preserve"> </w:t>
      </w:r>
      <w:r>
        <w:rPr>
          <w:rStyle w:val="VerbatimChar"/>
        </w:rPr>
        <w:t xml:space="preserve">https://www.cureodysseys.com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e5dd3866652846f80190397946799dd0291cbe5"/>
      <w:r>
        <w:t xml:space="preserve">Recurring themes (4-card grid · accent style)</w:t>
      </w:r>
      <w:bookmarkEnd w:id="23"/>
    </w:p>
    <w:p>
      <w:pPr>
        <w:pStyle w:val="FirstParagraph"/>
      </w:pPr>
      <w:r>
        <w:rPr>
          <w:b/>
        </w:rPr>
        <w:t xml:space="preserve">Kicker:</w:t>
      </w:r>
      <w:r>
        <w:t xml:space="preserve"> </w:t>
      </w:r>
      <w:r>
        <w:t xml:space="preserve">Recurring themes</w:t>
      </w:r>
      <w:r>
        <w:t xml:space="preserve"> </w:t>
      </w:r>
      <w:r>
        <w:rPr>
          <w:b/>
        </w:rPr>
        <w:t xml:space="preserve">Headline (H2):</w:t>
      </w:r>
      <w:r>
        <w:t xml:space="preserve"> </w:t>
      </w:r>
      <w:r>
        <w:t xml:space="preserve">What you’ll find in the archive.</w:t>
      </w:r>
    </w:p>
    <w:p>
      <w:pPr>
        <w:pStyle w:val="BodyText"/>
      </w:pPr>
      <w:r>
        <w:rPr>
          <w:b/>
        </w:rPr>
        <w:t xml:space="preserve">Card 1 · Theme — Community medicine &amp; 1-to-N medicine.</w:t>
      </w:r>
      <w:r>
        <w:t xml:space="preserve"> </w:t>
      </w:r>
      <w:r>
        <w:t xml:space="preserve">Treating an N-of-1 protocol as a prototype, then scaling to every child carrying the same variant.</w:t>
      </w:r>
    </w:p>
    <w:p>
      <w:pPr>
        <w:pStyle w:val="BodyText"/>
      </w:pPr>
      <w:r>
        <w:rPr>
          <w:b/>
        </w:rPr>
        <w:t xml:space="preserve">Card 2 · Theme — Yeast avatars.</w:t>
      </w:r>
      <w:r>
        <w:t xml:space="preserve"> </w:t>
      </w:r>
      <w:r>
        <w:t xml:space="preserve">Recurring deep-dives on humanized yeast strains for specific variants: FOXG1, SURF1, ECHS1, DHDDS, NARS1, PIGW, PIGN, ADSL, ALG11, PMM2, GNAO1, PGAP3.</w:t>
      </w:r>
    </w:p>
    <w:p>
      <w:pPr>
        <w:pStyle w:val="BodyText"/>
      </w:pPr>
      <w:r>
        <w:rPr>
          <w:b/>
        </w:rPr>
        <w:t xml:space="preserve">Card 3 · Theme — Two wrongs make a right.</w:t>
      </w:r>
      <w:r>
        <w:t xml:space="preserve"> </w:t>
      </w:r>
      <w:r>
        <w:t xml:space="preserve">Posts on paradoxical repurposing — inhibiting the compensating enzyme (GMPPB in GMPPA-CDG), restoring aldose reductase balance (PMM2-CDG).</w:t>
      </w:r>
    </w:p>
    <w:p>
      <w:pPr>
        <w:pStyle w:val="BodyText"/>
      </w:pPr>
      <w:r>
        <w:rPr>
          <w:b/>
        </w:rPr>
        <w:t xml:space="preserve">Card 4 · Theme — The Anti-Portfolio of Pharma.</w:t>
      </w:r>
      <w:r>
        <w:t xml:space="preserve"> </w:t>
      </w:r>
      <w:r>
        <w:t xml:space="preserve">The running argument: big pharma systematically declines IMDs, and the systematic decline is itself the opportunity.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ost-digest-cms-driven-list"/>
      <w:r>
        <w:t xml:space="preserve">Post digest (CMS-driven list)</w:t>
      </w:r>
      <w:bookmarkEnd w:id="24"/>
    </w:p>
    <w:p>
      <w:pPr>
        <w:pStyle w:val="FirstParagraph"/>
      </w:pPr>
      <w:r>
        <w:rPr>
          <w:b/>
        </w:rPr>
        <w:t xml:space="preserve">Kicker:</w:t>
      </w:r>
      <w:r>
        <w:t xml:space="preserve"> </w:t>
      </w:r>
      <w:r>
        <w:t xml:space="preserve">Post digest</w:t>
      </w:r>
      <w:r>
        <w:t xml:space="preserve"> </w:t>
      </w:r>
      <w:r>
        <w:rPr>
          <w:b/>
        </w:rPr>
        <w:t xml:space="preserve">Headline (H2):</w:t>
      </w:r>
      <w:r>
        <w:t xml:space="preserve"> </w:t>
      </w:r>
      <w:r>
        <w:t xml:space="preserve">Selected Cure Odysseys posts.</w:t>
      </w:r>
      <w:r>
        <w:t xml:space="preserve"> </w:t>
      </w:r>
      <w:r>
        <w:rPr>
          <w:b/>
        </w:rPr>
        <w:t xml:space="preserve">Section lede:</w:t>
      </w:r>
      <w:r>
        <w:t xml:space="preserve"> </w:t>
      </w:r>
      <w:r>
        <w:t xml:space="preserve">A curated index of foundational, recent, and high-signal posts. Titles link out to the Substack. Short summaries are editorial. In Webflow, this section should be wired to the Substack RSS feed (</w:t>
      </w:r>
      <w:r>
        <w:rPr>
          <w:rStyle w:val="VerbatimChar"/>
        </w:rPr>
        <w:t xml:space="preserve">https://perlara.substack.com/feed</w:t>
      </w:r>
      <w:r>
        <w:t xml:space="preserve">).</w:t>
      </w:r>
    </w:p>
    <w:p>
      <w:pPr>
        <w:pStyle w:val="BlockText"/>
      </w:pPr>
      <w:r>
        <w:rPr>
          <w:b/>
        </w:rPr>
        <w:t xml:space="preserve">Webflow note:</w:t>
      </w:r>
      <w:r>
        <w:t xml:space="preserve"> </w:t>
      </w:r>
      <w:r>
        <w:t xml:space="preserve">Build as Collection List with these fields (matches</w:t>
      </w:r>
      <w:r>
        <w:t xml:space="preserve"> </w:t>
      </w:r>
      <w:r>
        <w:rPr>
          <w:rStyle w:val="VerbatimChar"/>
        </w:rPr>
        <w:t xml:space="preserve">cms/cure-odysseys-posts.csv</w:t>
      </w:r>
      <w:r>
        <w:t xml:space="preserve">):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(Foundational / Platform / PMM2-CDG / CDG / Leigh Syndrome / FOXG1 / GNAO1 / tRNA / DHDDS / GPI / Strategy / etc.),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(multi-ref),</w:t>
      </w:r>
      <w:r>
        <w:t xml:space="preserve"> </w:t>
      </w:r>
      <w:r>
        <w:rPr>
          <w:rStyle w:val="VerbatimChar"/>
        </w:rPr>
        <w:t xml:space="preserve">substack_url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published_date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is_featured</w:t>
      </w:r>
      <w:r>
        <w:t xml:space="preserve">. For launch, use the curated entries below; post-launch swap to RSS-fed CMS items.</w:t>
      </w:r>
    </w:p>
    <w:p>
      <w:pPr>
        <w:pStyle w:val="Heading3"/>
      </w:pPr>
      <w:bookmarkStart w:id="25" w:name="foundational"/>
      <w:r>
        <w:t xml:space="preserve">Foundational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Anti-Portfolio of Pharma</w:t>
      </w:r>
      <w:r>
        <w:t xml:space="preserve"> </w:t>
      </w:r>
      <w:r>
        <w:t xml:space="preserve">— The thesis post: why the diseases big pharma rejects are the exact programs a yeast-first, patient-partnered company should run.</w:t>
      </w:r>
      <w:r>
        <w:t xml:space="preserve"> </w:t>
      </w:r>
      <w:r>
        <w:rPr>
          <w:i/>
        </w:rPr>
        <w:t xml:space="preserve">Tags: Thesis, Strategy.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Patients are the platform</w:t>
      </w:r>
      <w:r>
        <w:t xml:space="preserve"> </w:t>
      </w:r>
      <w:r>
        <w:t xml:space="preserve">— How Maggie’s Pearl moved epalrestat from an N-of-1 to a 40-patient Phase III at Mayo Clinic in three years for under $5M.</w:t>
      </w:r>
      <w:r>
        <w:t xml:space="preserve"> </w:t>
      </w:r>
      <w:r>
        <w:rPr>
          <w:i/>
        </w:rPr>
        <w:t xml:space="preserve">Tags: PMM2-CDG, Trial design.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Community medicine · 1-to-N medicine</w:t>
      </w:r>
      <w:r>
        <w:t xml:space="preserve"> </w:t>
      </w:r>
      <w:r>
        <w:t xml:space="preserve">— Two companion posts on treating each N-of-1 as a prototype — and scaling it to every subsequent patient carrying the same variant.</w:t>
      </w:r>
      <w:r>
        <w:t xml:space="preserve"> </w:t>
      </w:r>
      <w:r>
        <w:rPr>
          <w:i/>
        </w:rPr>
        <w:t xml:space="preserve">Tags: Methods, Policy.</w:t>
      </w:r>
    </w:p>
    <w:p>
      <w:pPr>
        <w:pStyle w:val="Heading3"/>
      </w:pPr>
      <w:bookmarkStart w:id="26" w:name="platform"/>
      <w:r>
        <w:t xml:space="preserve">Platform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Decentralized yeast lab for drug repurposing</w:t>
      </w:r>
      <w:r>
        <w:t xml:space="preserve"> </w:t>
      </w:r>
      <w:r>
        <w:t xml:space="preserve">— How the Perlara wet lab runs as a distributed facility: instrument, assay, and QC standards that let a 3-person team profile thousands of compounds a month.</w:t>
      </w:r>
      <w:r>
        <w:t xml:space="preserve"> </w:t>
      </w:r>
      <w:r>
        <w:rPr>
          <w:i/>
        </w:rPr>
        <w:t xml:space="preserve">Tags: Operations.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Yeast avatars for drug repurposing</w:t>
      </w:r>
      <w:r>
        <w:t xml:space="preserve"> </w:t>
      </w:r>
      <w:r>
        <w:t xml:space="preserve">— The canonical explainer on humanized yeast models — what they are, what they can and can’t do, where</w:t>
      </w:r>
      <w:r>
        <w:t xml:space="preserve"> </w:t>
      </w:r>
      <w:r>
        <w:rPr>
          <w:i/>
        </w:rPr>
        <w:t xml:space="preserve">Y. lipolytica</w:t>
      </w:r>
      <w:r>
        <w:t xml:space="preserve"> </w:t>
      </w:r>
      <w:r>
        <w:t xml:space="preserve">beats</w:t>
      </w:r>
      <w:r>
        <w:t xml:space="preserve"> </w:t>
      </w:r>
      <w:r>
        <w:rPr>
          <w:i/>
        </w:rPr>
        <w:t xml:space="preserve">S. cerevisiae</w:t>
      </w:r>
      <w:r>
        <w:t xml:space="preserve">.</w:t>
      </w:r>
      <w:r>
        <w:t xml:space="preserve"> </w:t>
      </w:r>
      <w:r>
        <w:rPr>
          <w:i/>
        </w:rPr>
        <w:t xml:space="preserve">Tags: Methods.</w:t>
      </w:r>
    </w:p>
    <w:p>
      <w:pPr>
        <w:pStyle w:val="Heading3"/>
      </w:pPr>
      <w:bookmarkStart w:id="27" w:name="pmm2-cdg"/>
      <w:r>
        <w:t xml:space="preserve">PMM2-CDG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Pharma Chameleon — epalrestat for PMM2-CDG</w:t>
      </w:r>
      <w:r>
        <w:t xml:space="preserve"> </w:t>
      </w:r>
      <w:r>
        <w:t xml:space="preserve">— A Japanese diabetic-neuropathy drug, repurposed. The mechanistic story of why aldose reductase inhibition restores glycosylation in PMM2-deficient cells.</w:t>
      </w:r>
      <w:r>
        <w:t xml:space="preserve"> </w:t>
      </w:r>
      <w:r>
        <w:rPr>
          <w:i/>
        </w:rPr>
        <w:t xml:space="preserve">Tags: PMM2-CDG, Repurposing.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Landry’s PMM2-CDG yeast avatar</w:t>
      </w:r>
      <w:r>
        <w:t xml:space="preserve"> </w:t>
      </w:r>
      <w:r>
        <w:t xml:space="preserve">— The variant-specific avatar built for a single patient: screen, hit list, compassionate-use path.</w:t>
      </w:r>
      <w:r>
        <w:t xml:space="preserve"> </w:t>
      </w:r>
      <w:r>
        <w:rPr>
          <w:i/>
        </w:rPr>
        <w:t xml:space="preserve">Tags: PMM2-CDG, N-of-1.</w:t>
      </w:r>
    </w:p>
    <w:p>
      <w:pPr>
        <w:pStyle w:val="Heading3"/>
      </w:pPr>
      <w:bookmarkStart w:id="28" w:name="cdg"/>
      <w:r>
        <w:t xml:space="preserve">CDG</w:t>
      </w:r>
      <w:bookmarkEnd w:id="2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Restoring balance to the flux</w:t>
      </w:r>
      <w:r>
        <w:t xml:space="preserve"> </w:t>
      </w:r>
      <w:r>
        <w:t xml:space="preserve">— GMPPA-CDG: loss of GMPPA causes runaway GMPPB and hypermannosylation.</w:t>
      </w:r>
      <w:r>
        <w:t xml:space="preserve"> </w:t>
      </w:r>
      <w:r>
        <w:t xml:space="preserve">“</w:t>
      </w:r>
      <w:r>
        <w:t xml:space="preserve">Two wrongs make a right</w:t>
      </w:r>
      <w:r>
        <w:t xml:space="preserve">”</w:t>
      </w:r>
      <w:r>
        <w:t xml:space="preserve"> </w:t>
      </w:r>
      <w:r>
        <w:t xml:space="preserve">— inhibiting GMPPB normalizes flux.</w:t>
      </w:r>
      <w:r>
        <w:t xml:space="preserve"> </w:t>
      </w:r>
      <w:r>
        <w:rPr>
          <w:i/>
        </w:rPr>
        <w:t xml:space="preserve">Tags: GMPPA-CDG, Mechanism.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ALG11-CDG Cure Odyssey</w:t>
      </w:r>
      <w:r>
        <w:t xml:space="preserve"> </w:t>
      </w:r>
      <w:r>
        <w:t xml:space="preserve">— Building and screening the ALG11 yeast avatar. The N-glycosylation branch of the CDG family.</w:t>
      </w:r>
      <w:r>
        <w:t xml:space="preserve"> </w:t>
      </w:r>
      <w:r>
        <w:rPr>
          <w:i/>
        </w:rPr>
        <w:t xml:space="preserve">Tags: ALG11-CDG.</w:t>
      </w:r>
    </w:p>
    <w:p>
      <w:pPr>
        <w:pStyle w:val="Heading3"/>
      </w:pPr>
      <w:bookmarkStart w:id="29" w:name="leigh-syndrome"/>
      <w:r>
        <w:t xml:space="preserve">Leigh Syndrome</w:t>
      </w:r>
      <w:bookmarkEnd w:id="29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Yeast-powered drug repurposing screens for SURF1 Leigh Syndrome are done</w:t>
      </w:r>
      <w:r>
        <w:t xml:space="preserve"> </w:t>
      </w:r>
      <w:r>
        <w:t xml:space="preserve">— The headline result from the first SURF1 campaign: a ranked hit list of rescuers of SURF1-deficient yeast respiration.</w:t>
      </w:r>
      <w:r>
        <w:t xml:space="preserve"> </w:t>
      </w:r>
      <w:r>
        <w:rPr>
          <w:i/>
        </w:rPr>
        <w:t xml:space="preserve">Tags: SURF1, Complex IV.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SURF1 yeast hits validated in patient fibroblasts</w:t>
      </w:r>
      <w:r>
        <w:t xml:space="preserve"> </w:t>
      </w:r>
      <w:r>
        <w:t xml:space="preserve">— Six of the top twelve SURF1 yeast rescuers reproduced in patient fibroblasts — the strongest yeast-to-human translation signal we’ve measured.</w:t>
      </w:r>
      <w:r>
        <w:t xml:space="preserve"> </w:t>
      </w:r>
      <w:r>
        <w:rPr>
          <w:i/>
        </w:rPr>
        <w:t xml:space="preserve">Tags: SURF1, Validation.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Leigh Syndrome drug repurposing updates</w:t>
      </w:r>
      <w:r>
        <w:t xml:space="preserve"> </w:t>
      </w:r>
      <w:r>
        <w:t xml:space="preserve">— Rolling update across ETC programs: status of SURF1, Complex I, and upcoming</w:t>
      </w:r>
      <w:r>
        <w:t xml:space="preserve"> </w:t>
      </w:r>
      <w:r>
        <w:rPr>
          <w:i/>
        </w:rPr>
        <w:t xml:space="preserve">Y. lipolytica</w:t>
      </w:r>
      <w:r>
        <w:t xml:space="preserve"> </w:t>
      </w:r>
      <w:r>
        <w:t xml:space="preserve">assays.</w:t>
      </w:r>
      <w:r>
        <w:t xml:space="preserve"> </w:t>
      </w:r>
      <w:r>
        <w:rPr>
          <w:i/>
        </w:rPr>
        <w:t xml:space="preserve">Tags: Leigh.</w:t>
      </w:r>
    </w:p>
    <w:p>
      <w:pPr>
        <w:pStyle w:val="Heading3"/>
      </w:pPr>
      <w:bookmarkStart w:id="30" w:name="foxg1-gnao1"/>
      <w:r>
        <w:t xml:space="preserve">FOXG1 / GNAO1</w:t>
      </w:r>
      <w:bookmarkEnd w:id="30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FOXG1 Cure Odyssey</w:t>
      </w:r>
      <w:r>
        <w:t xml:space="preserve"> </w:t>
      </w:r>
      <w:r>
        <w:t xml:space="preserve">— The first CRDF-funded Cure Odyssey: FOXG1 syndrome yeast models and early hits.</w:t>
      </w:r>
      <w:r>
        <w:t xml:space="preserve"> </w:t>
      </w:r>
      <w:r>
        <w:rPr>
          <w:i/>
        </w:rPr>
        <w:t xml:space="preserve">Tags: FOXG1.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GNAO1 yeast avatars for drug multipurposing</w:t>
      </w:r>
      <w:r>
        <w:t xml:space="preserve"> </w:t>
      </w:r>
      <w:r>
        <w:t xml:space="preserve">— Variant-specific avatars for the A221D allele, built in collaboration with the Undiagnosed Diseases Network.</w:t>
      </w:r>
      <w:r>
        <w:t xml:space="preserve"> </w:t>
      </w:r>
      <w:r>
        <w:rPr>
          <w:i/>
        </w:rPr>
        <w:t xml:space="preserve">Tags: GNAO1, UDN.</w:t>
      </w:r>
    </w:p>
    <w:p>
      <w:pPr>
        <w:pStyle w:val="Heading3"/>
      </w:pPr>
      <w:bookmarkStart w:id="31" w:name="trna-synthetases-dhdds"/>
      <w:r>
        <w:t xml:space="preserve">tRNA synthetases / DHDDS</w:t>
      </w:r>
      <w:bookmarkEnd w:id="31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NARS1 Cure Odyssey</w:t>
      </w:r>
      <w:r>
        <w:t xml:space="preserve"> </w:t>
      </w:r>
      <w:r>
        <w:t xml:space="preserve">— The asparaginyl-tRNA synthetase program — one of a growing family of tRNA-synthetase-linked IMDs in the REMIT pipeline.</w:t>
      </w:r>
      <w:r>
        <w:t xml:space="preserve"> </w:t>
      </w:r>
      <w:r>
        <w:rPr>
          <w:i/>
        </w:rPr>
        <w:t xml:space="preserve">Tags: NARS1.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DHDDS Cure Odyssey</w:t>
      </w:r>
      <w:r>
        <w:t xml:space="preserve"> </w:t>
      </w:r>
      <w:r>
        <w:t xml:space="preserve">— Dolichol biosynthesis defects and the first hits from the DHDDS yeast avatar.</w:t>
      </w:r>
      <w:r>
        <w:t xml:space="preserve"> </w:t>
      </w:r>
      <w:r>
        <w:rPr>
          <w:i/>
        </w:rPr>
        <w:t xml:space="preserve">Tags: DHDDS.</w:t>
      </w:r>
    </w:p>
    <w:p>
      <w:pPr>
        <w:pStyle w:val="Heading3"/>
      </w:pPr>
      <w:bookmarkStart w:id="32" w:name="gpi-anchor"/>
      <w:r>
        <w:t xml:space="preserve">GPI-anchor</w:t>
      </w:r>
      <w:bookmarkEnd w:id="32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Yeast-powered drug repurposing screen → parent-driven N-of-1 (PIGW)</w:t>
      </w:r>
      <w:r>
        <w:t xml:space="preserve"> </w:t>
      </w:r>
      <w:r>
        <w:t xml:space="preserve">— How a PIGW family took the top-ranked rescuer straight into a parent-driven N-of-1 protocol.</w:t>
      </w:r>
      <w:r>
        <w:t xml:space="preserve"> </w:t>
      </w:r>
      <w:r>
        <w:rPr>
          <w:i/>
        </w:rPr>
        <w:t xml:space="preserve">Tags: PIGW, N-of-1.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PIGN Cure Collective</w:t>
      </w:r>
      <w:r>
        <w:t xml:space="preserve"> </w:t>
      </w:r>
      <w:r>
        <w:t xml:space="preserve">— Formation of a multi-family Cure Collective for PIGN GPI-anchor deficiency, with a shared yeast avatar and screen.</w:t>
      </w:r>
      <w:r>
        <w:t xml:space="preserve"> </w:t>
      </w:r>
      <w:r>
        <w:rPr>
          <w:i/>
        </w:rPr>
        <w:t xml:space="preserve">Tags: PIGN.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PGAP3 drug repurposing screens are done</w:t>
      </w:r>
      <w:r>
        <w:t xml:space="preserve"> </w:t>
      </w:r>
      <w:r>
        <w:t xml:space="preserve">— Completion of the PGAP3 primary screen and first-pass hit triage.</w:t>
      </w:r>
      <w:r>
        <w:t xml:space="preserve"> </w:t>
      </w:r>
      <w:r>
        <w:rPr>
          <w:i/>
        </w:rPr>
        <w:t xml:space="preserve">Tags: PGAP3.</w:t>
      </w:r>
    </w:p>
    <w:p>
      <w:pPr>
        <w:pStyle w:val="Heading3"/>
      </w:pPr>
      <w:bookmarkStart w:id="33" w:name="purine-valine"/>
      <w:r>
        <w:t xml:space="preserve">Purine / valine</w:t>
      </w:r>
      <w:bookmarkEnd w:id="33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ADSL Cure Odyssey · ECHS1 Cure Odyssey</w:t>
      </w:r>
      <w:r>
        <w:t xml:space="preserve"> </w:t>
      </w:r>
      <w:r>
        <w:t xml:space="preserve">— Two paired posts on purine-biosynthesis (ADSL) and valine-catabolism (ECHS1) avatars and their early compound fingerprints.</w:t>
      </w:r>
      <w:r>
        <w:t xml:space="preserve"> </w:t>
      </w:r>
      <w:r>
        <w:rPr>
          <w:i/>
        </w:rPr>
        <w:t xml:space="preserve">Tags: ADSL, ECHS1.</w:t>
      </w:r>
    </w:p>
    <w:p>
      <w:pPr>
        <w:pStyle w:val="Heading3"/>
      </w:pPr>
      <w:bookmarkStart w:id="34" w:name="strategy"/>
      <w:r>
        <w:t xml:space="preserve">Strategy</w:t>
      </w:r>
      <w:bookmarkEnd w:id="34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Fuel It Still</w:t>
      </w:r>
      <w:r>
        <w:t xml:space="preserve"> </w:t>
      </w:r>
      <w:r>
        <w:t xml:space="preserve">— A working note on maintaining patient-first momentum through the awkward middle of the drug-development timeline.</w:t>
      </w:r>
      <w:r>
        <w:t xml:space="preserve"> </w:t>
      </w:r>
      <w:r>
        <w:rPr>
          <w:i/>
        </w:rPr>
        <w:t xml:space="preserve">Tags: Culture.</w:t>
      </w:r>
    </w:p>
    <w:p>
      <w:pPr>
        <w:pStyle w:val="FirstParagraph"/>
      </w:pPr>
      <w:r>
        <w:rPr>
          <w:b/>
        </w:rPr>
        <w:t xml:space="preserve">Bottom link:</w:t>
      </w:r>
      <w:r>
        <w:t xml:space="preserve"> </w:t>
      </w:r>
      <w:r>
        <w:t xml:space="preserve">Read everything on cureodysseys.com →</w:t>
      </w:r>
      <w:r>
        <w:t xml:space="preserve"> </w:t>
      </w:r>
      <w:r>
        <w:rPr>
          <w:rStyle w:val="VerbatimChar"/>
        </w:rPr>
        <w:t xml:space="preserve">https://www.cureodysseys.com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cureodysseys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www.cureodyssey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2026-04-27T21:05:21Z</dcterms:created>
  <dcterms:modified xsi:type="dcterms:W3CDTF">2026-04-27T21:05:21Z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