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C12F" w14:textId="77777777" w:rsidR="00357E8C" w:rsidRPr="0067676F" w:rsidRDefault="00B57334">
      <w:pPr>
        <w:pStyle w:val="Title"/>
        <w:rPr>
          <w:color w:val="auto"/>
        </w:rPr>
      </w:pPr>
      <w:r>
        <w:rPr>
          <w:color w:val="auto"/>
        </w:rPr>
        <w:t>The Taylor Family Case Study – FIN 540</w:t>
      </w:r>
    </w:p>
    <w:p w14:paraId="0F1D82B7" w14:textId="3E87DF75" w:rsidR="00FD7C80" w:rsidRPr="0067676F" w:rsidRDefault="00FD7C80" w:rsidP="00FD7C80">
      <w:pPr>
        <w:pStyle w:val="Heading1"/>
        <w:rPr>
          <w:color w:val="auto"/>
        </w:rPr>
      </w:pPr>
      <w:r>
        <w:rPr>
          <w:color w:val="auto"/>
        </w:rPr>
        <w:t>This case study serves as the basis for the six-week Private Wealth Planning Project in FIN 540. Students will be expected to extract and interpret key financial planning information, including client goals, risk preferences, investment income needs and constraints, and to develop an integrated financial strategy based on their analysis. Students should pay careful attention to behavioral cues and lifestyle commentary when assessing the Taylors’ risk tolerance and investment objectives.</w:t>
      </w:r>
    </w:p>
    <w:p w14:paraId="3DE8F553" w14:textId="7A2C4ECA" w:rsidR="00357E8C" w:rsidRPr="0067676F" w:rsidRDefault="00B57334">
      <w:pPr>
        <w:pStyle w:val="Heading1"/>
        <w:rPr>
          <w:color w:val="auto"/>
        </w:rPr>
      </w:pPr>
      <w:r>
        <w:rPr>
          <w:color w:val="auto"/>
        </w:rPr>
        <w:t>Client Background</w:t>
      </w:r>
    </w:p>
    <w:p w14:paraId="2D185568" w14:textId="3BB6C51C" w:rsidR="00357E8C" w:rsidRDefault="00B57334">
      <w:r>
        <w:t>Mark and Lisa Taylor, ages 65 and 62</w:t>
      </w:r>
      <w:r w:rsidR="00E55F9B">
        <w:t>,</w:t>
      </w:r>
      <w:r>
        <w:t xml:space="preserve"> respectively, reside in a suburban neighborhood of Jacksonville, Florida. Mark recently retired from a long and successful career as an optometrist. Lisa, a lifelong educator and art enthusiast, continues to teach part-time at a local university. Although she finds her work fulfilling, she is </w:t>
      </w:r>
      <w:r w:rsidR="00E55F9B">
        <w:t>considering full retirement within the next 1 to 2</w:t>
      </w:r>
      <w:r>
        <w:t xml:space="preserve"> years. They have been married for over 35 years, have two financially independent adult children, and three grandchildren (ages 3, 5</w:t>
      </w:r>
      <w:r w:rsidR="00E55F9B">
        <w:t>,</w:t>
      </w:r>
      <w:r>
        <w:t xml:space="preserve"> and 6)</w:t>
      </w:r>
      <w:r>
        <w:br/>
      </w:r>
    </w:p>
    <w:p w14:paraId="199151F9" w14:textId="42016FE7" w:rsidR="00357E8C" w:rsidRDefault="00B57334">
      <w:r>
        <w:t xml:space="preserve">The Taylors are now focused on transitioning into retirement with a sense of financial security. They hope to enjoy their later years while leaving a meaningful legacy for their family and supporting philanthropic interests that are personally significant to them. The couple is health-conscious, active in their community, and increasingly interested in </w:t>
      </w:r>
      <w:r w:rsidR="00E55F9B">
        <w:t>aligning</w:t>
      </w:r>
      <w:r>
        <w:t xml:space="preserve"> their financial decisions with their long-term values and lifestyle.</w:t>
      </w:r>
      <w:r>
        <w:br/>
      </w:r>
    </w:p>
    <w:p w14:paraId="0726761E" w14:textId="3109BB70" w:rsidR="009D6140" w:rsidRDefault="009D6140">
      <w:r>
        <w:t>They have no health concerns and have no family history of major medical problems.</w:t>
      </w:r>
    </w:p>
    <w:p w14:paraId="7702731A" w14:textId="77777777" w:rsidR="00357E8C" w:rsidRPr="0067676F" w:rsidRDefault="00B57334">
      <w:pPr>
        <w:pStyle w:val="Heading1"/>
        <w:rPr>
          <w:color w:val="auto"/>
        </w:rPr>
      </w:pPr>
      <w:r>
        <w:rPr>
          <w:color w:val="auto"/>
        </w:rPr>
        <w:t>Financial Picture</w:t>
      </w:r>
    </w:p>
    <w:p w14:paraId="6839F2A6" w14:textId="3C2AAEDF" w:rsidR="008C07A6" w:rsidRDefault="00B57334">
      <w:r>
        <w:t>Mark and Lisa maintain liquid reserves of approximately $90,000 in checking and savings accounts for day-to-day expenses and emergencies. Their investable assets are held across several account types, distributed as follows:</w:t>
      </w:r>
      <w:r>
        <w:br/>
        <w:t>- Joint taxable brokerage account: $1,012,051</w:t>
      </w:r>
      <w:r>
        <w:br/>
        <w:t>- Traditional IRAs: $1,197,000 (Mark) and $546,000 (Lisa)</w:t>
      </w:r>
      <w:r>
        <w:br/>
        <w:t>- Roth IRAs: $132,000 (Mark) and $82,000 (Lisa)</w:t>
      </w:r>
      <w:r>
        <w:br/>
        <w:t xml:space="preserve">An </w:t>
      </w:r>
      <w:r w:rsidR="00E55F9B">
        <w:t>Excel spreadsheet showing holdings and cost basis as of April 20, 2026,</w:t>
      </w:r>
      <w:r>
        <w:t xml:space="preserve"> is provided.</w:t>
      </w:r>
    </w:p>
    <w:p w14:paraId="3406AEBF" w14:textId="460C7D91" w:rsidR="00357E8C" w:rsidRDefault="00B57334">
      <w:r>
        <w:lastRenderedPageBreak/>
        <w:br/>
      </w:r>
    </w:p>
    <w:p w14:paraId="1D1E92C9" w14:textId="4D9B688B" w:rsidR="00C5124D" w:rsidRDefault="00B57334">
      <w:r>
        <w:t>Mark receives a defined benefit pension, joint and survivor, of $55,000 pre-tax per year (not indexed for inflation). Lisa earns approximately $24,000 pre-tax from part-time teaching. While Mark just turned 65 and is now covered by Medicare, they have chosen to delay claiming Social Security benefits until Mark’s age 70 to maximize the payout. Combined, their future Social Security benefits are projected to be about $76,000 annually at Mark’s age 70.  Lisa intends to teach for three more years and then fully retire.</w:t>
      </w:r>
    </w:p>
    <w:p w14:paraId="3A191E05" w14:textId="77777777" w:rsidR="00357E8C" w:rsidRPr="0067676F" w:rsidRDefault="00B57334">
      <w:pPr>
        <w:pStyle w:val="Heading1"/>
        <w:rPr>
          <w:color w:val="auto"/>
        </w:rPr>
      </w:pPr>
      <w:r>
        <w:rPr>
          <w:color w:val="auto"/>
        </w:rPr>
        <w:t>Financial Goals and Lifestyle</w:t>
      </w:r>
    </w:p>
    <w:p w14:paraId="70A17A8F" w14:textId="7F8D4E0F" w:rsidR="00357E8C" w:rsidRDefault="00B57334">
      <w:r>
        <w:t>The Taylors estimate their annual post-tax spending needs at $180,000, which includes housing, healthcare premiums, charitable donations, and personal lifestyle expenses such as modest vacations and occasional cultural outings. They expect their spending to grow with inflation at approximately 2.5% per year.</w:t>
      </w:r>
      <w:r>
        <w:br/>
      </w:r>
    </w:p>
    <w:p w14:paraId="7DE7AA7E" w14:textId="690D25E3" w:rsidR="00357E8C" w:rsidRDefault="00B57334">
      <w:r>
        <w:t xml:space="preserve">The couple has expressed an interest in updating their home, a renovation they estimate will cost $100,000 within the next 12 months. </w:t>
      </w:r>
      <w:r w:rsidR="00E55F9B">
        <w:t>Longer term, they are committed to helping fund</w:t>
      </w:r>
      <w:r>
        <w:t xml:space="preserve"> their grandchildren’s future college expenses by investing in 539 plans for them—$10,000 per year per grandchild for the next 3 years.</w:t>
      </w:r>
      <w:r>
        <w:br/>
      </w:r>
    </w:p>
    <w:p w14:paraId="3B84AF5E" w14:textId="77777777" w:rsidR="00357E8C" w:rsidRDefault="00B57334">
      <w:r>
        <w:t>Mark is interested in establishing a donor-advised fund to support charitable giving during their lifetime. Lisa is particularly focused on financial stability and ensuring resources are available to help support future generations. They both agree on the importance of leaving a financial legacy, though their individual preferences suggest different risk attitudes that may need to be balanced in their investment strategy.</w:t>
      </w:r>
      <w:r>
        <w:br/>
      </w:r>
    </w:p>
    <w:p w14:paraId="6C486BE8" w14:textId="77777777" w:rsidR="00357E8C" w:rsidRPr="0067676F" w:rsidRDefault="00B57334">
      <w:pPr>
        <w:pStyle w:val="Heading1"/>
        <w:rPr>
          <w:color w:val="auto"/>
        </w:rPr>
      </w:pPr>
      <w:r>
        <w:rPr>
          <w:color w:val="auto"/>
        </w:rPr>
        <w:t>Investment Preferences and Attitudes</w:t>
      </w:r>
    </w:p>
    <w:p w14:paraId="31609D6A" w14:textId="1A8390FF" w:rsidR="00357E8C" w:rsidRDefault="00B57334">
      <w:r>
        <w:t xml:space="preserve">Historically, the Taylors have favored conservative investments. Their taxable portfolio consists largely of well-known individual stocks and bond funds. Their IRA holdings are diversified </w:t>
      </w:r>
      <w:r w:rsidR="00E55F9B">
        <w:t xml:space="preserve">across stock, bond, and balanced mutual </w:t>
      </w:r>
      <w:r>
        <w:t>funds. While neither Taylor has worked with a professional advisor previously, they are both open to receiving structured, objective advice.</w:t>
      </w:r>
      <w:r>
        <w:br/>
      </w:r>
    </w:p>
    <w:p w14:paraId="6283C858" w14:textId="657C57C8" w:rsidR="00357E8C" w:rsidRDefault="00B57334">
      <w:r>
        <w:t xml:space="preserve">They have expressed curiosity about environmental, social, and governance (ESG) investing, but lack clarity on how to effectively incorporate it into their portfolio. Mark describes himself as “comfortable with a little market noise” and emphasizes the need for long-term growth, particularly within tax-advantaged accounts. Lisa, on the other hand, recalls feeling </w:t>
      </w:r>
      <w:r>
        <w:lastRenderedPageBreak/>
        <w:t>uneasy during periods of market volatility in 2008 and again in 2020, preferring steadier, more predictable outcomes—even if returns are lower.</w:t>
      </w:r>
    </w:p>
    <w:p w14:paraId="74A9B3D4" w14:textId="77777777" w:rsidR="00357E8C" w:rsidRPr="0067676F" w:rsidRDefault="00B57334">
      <w:pPr>
        <w:pStyle w:val="Heading1"/>
        <w:rPr>
          <w:color w:val="auto"/>
        </w:rPr>
      </w:pPr>
      <w:r>
        <w:rPr>
          <w:color w:val="auto"/>
        </w:rPr>
        <w:t>Tax Considerations</w:t>
      </w:r>
    </w:p>
    <w:p w14:paraId="2D64C061" w14:textId="050E3449" w:rsidR="00357E8C" w:rsidRDefault="00B57334">
      <w:r>
        <w:t>Mark and Lisa file jointly and fall into a combined federal and state marginal bracket of approximately 24% for ordinary income and 15% for qualified dividends and capital gains. They are aware of Roth conversion strategies and the importance of managing required minimum distributions (RMDs) from their Traditional IRAs beginning at age 73. While they have not implemented any specific tax strategy, they are eager to reduce long-term tax liability and enhance portfolio efficiency.</w:t>
      </w:r>
      <w:r>
        <w:br/>
      </w:r>
    </w:p>
    <w:p w14:paraId="4B13C1FD" w14:textId="45365CE0" w:rsidR="00573A87" w:rsidRDefault="00B57334">
      <w:r>
        <w:br/>
      </w:r>
    </w:p>
    <w:p w14:paraId="239365C6" w14:textId="3F6AF4B9" w:rsidR="00573A87" w:rsidRPr="00FD7C80" w:rsidRDefault="00573A87" w:rsidP="00FD7C80">
      <w:pPr>
        <w:jc w:val="center"/>
        <w:rPr>
          <w:b/>
          <w:bCs/>
          <w:sz w:val="32"/>
          <w:szCs w:val="32"/>
        </w:rPr>
      </w:pPr>
      <w:r>
        <w:br w:type="page"/>
      </w:r>
      <w:r>
        <w:rPr>
          <w:b/>
          <w:bCs/>
          <w:sz w:val="32"/>
          <w:szCs w:val="32"/>
        </w:rPr>
        <w:lastRenderedPageBreak/>
        <w:t>Risk Tolerance Questionnaire</w:t>
      </w:r>
    </w:p>
    <w:p w14:paraId="68B42D7A" w14:textId="77777777" w:rsidR="00573A87" w:rsidRPr="002B026D" w:rsidRDefault="00573A87" w:rsidP="00573A87">
      <w:pPr>
        <w:jc w:val="center"/>
        <w:rPr>
          <w:b/>
          <w:bCs/>
          <w:color w:val="FF0000"/>
        </w:rPr>
      </w:pPr>
      <w:r>
        <w:rPr>
          <w:b/>
          <w:bCs/>
          <w:color w:val="FF0000"/>
        </w:rPr>
        <w:t>Mark and Lisa Taylor Responses in Red</w:t>
      </w:r>
    </w:p>
    <w:p w14:paraId="737E72EE" w14:textId="77777777" w:rsidR="0057765C" w:rsidRPr="002A017A" w:rsidRDefault="0057765C" w:rsidP="0057765C">
      <w:pPr>
        <w:rPr>
          <w:rFonts w:ascii="Arial" w:hAnsi="Arial" w:cs="Arial"/>
          <w:b/>
          <w:bCs/>
          <w:sz w:val="24"/>
          <w:szCs w:val="24"/>
        </w:rPr>
      </w:pPr>
      <w:r>
        <w:rPr>
          <w:rFonts w:ascii="Arial" w:hAnsi="Arial" w:cs="Arial"/>
          <w:b/>
          <w:bCs/>
          <w:sz w:val="24"/>
          <w:szCs w:val="24"/>
        </w:rPr>
        <w:t>Risk Tolerance Questionnaire – Understanding Your Comfort with Risk</w:t>
      </w:r>
    </w:p>
    <w:p w14:paraId="550C120A" w14:textId="77777777" w:rsidR="0057765C" w:rsidRPr="002A017A" w:rsidRDefault="0057765C" w:rsidP="0057765C">
      <w:pPr>
        <w:rPr>
          <w:rFonts w:ascii="Arial" w:hAnsi="Arial" w:cs="Arial"/>
          <w:sz w:val="24"/>
          <w:szCs w:val="24"/>
        </w:rPr>
      </w:pPr>
      <w:r>
        <w:rPr>
          <w:rFonts w:ascii="Arial" w:hAnsi="Arial" w:cs="Arial"/>
          <w:sz w:val="24"/>
          <w:szCs w:val="24"/>
        </w:rPr>
        <w:t>All investing involves risk. But choosing not to invest also carries a risk - specifically, inflation risk, meaning your purchasing power may decline over time. Historically, investments with higher long-term returns (such as stocks) also experience greater short-term fluctuations. A well-designed investment plan balances these risks with your financial goals, time horizon, and personal comfort level.</w:t>
      </w:r>
    </w:p>
    <w:p w14:paraId="4B1CF3F5" w14:textId="77777777" w:rsidR="0057765C" w:rsidRPr="002A017A" w:rsidRDefault="0057765C" w:rsidP="0057765C">
      <w:pPr>
        <w:rPr>
          <w:rFonts w:ascii="Arial" w:hAnsi="Arial" w:cs="Arial"/>
          <w:sz w:val="24"/>
          <w:szCs w:val="24"/>
        </w:rPr>
      </w:pPr>
    </w:p>
    <w:p w14:paraId="30C7CE2E" w14:textId="77777777" w:rsidR="0057765C" w:rsidRDefault="0057765C" w:rsidP="0057765C">
      <w:pPr>
        <w:rPr>
          <w:rFonts w:ascii="Arial" w:hAnsi="Arial" w:cs="Arial"/>
          <w:b/>
          <w:bCs/>
          <w:sz w:val="24"/>
          <w:szCs w:val="24"/>
        </w:rPr>
      </w:pPr>
      <w:r>
        <w:rPr>
          <w:rFonts w:ascii="Arial" w:hAnsi="Arial" w:cs="Arial"/>
          <w:b/>
          <w:bCs/>
          <w:sz w:val="24"/>
          <w:szCs w:val="24"/>
        </w:rPr>
        <w:t>This questionnaire helps us understand:</w:t>
      </w:r>
    </w:p>
    <w:p w14:paraId="7C3D7BD2" w14:textId="77777777" w:rsidR="0057765C" w:rsidRPr="002A017A" w:rsidRDefault="0057765C" w:rsidP="0057765C">
      <w:pPr>
        <w:pStyle w:val="ListParagraph"/>
        <w:numPr>
          <w:ilvl w:val="0"/>
          <w:numId w:val="11"/>
        </w:numPr>
        <w:rPr>
          <w:rFonts w:ascii="Arial" w:hAnsi="Arial" w:cs="Arial"/>
          <w:b/>
          <w:bCs/>
          <w:sz w:val="24"/>
          <w:szCs w:val="24"/>
        </w:rPr>
      </w:pPr>
      <w:r>
        <w:rPr>
          <w:rFonts w:ascii="Arial" w:hAnsi="Arial" w:cs="Arial"/>
          <w:b/>
          <w:bCs/>
          <w:sz w:val="24"/>
          <w:szCs w:val="24"/>
        </w:rPr>
        <w:t>Your emotional comfort with market ups and downs (risk tolerance)</w:t>
      </w:r>
    </w:p>
    <w:p w14:paraId="5DC42192" w14:textId="77777777" w:rsidR="0057765C" w:rsidRPr="002A017A" w:rsidRDefault="0057765C" w:rsidP="0057765C">
      <w:pPr>
        <w:pStyle w:val="ListParagraph"/>
        <w:numPr>
          <w:ilvl w:val="0"/>
          <w:numId w:val="11"/>
        </w:numPr>
        <w:rPr>
          <w:rFonts w:ascii="Arial" w:hAnsi="Arial" w:cs="Arial"/>
          <w:b/>
          <w:bCs/>
          <w:sz w:val="24"/>
          <w:szCs w:val="24"/>
        </w:rPr>
      </w:pPr>
      <w:r>
        <w:rPr>
          <w:rFonts w:ascii="Arial" w:hAnsi="Arial" w:cs="Arial"/>
          <w:b/>
          <w:bCs/>
          <w:sz w:val="24"/>
          <w:szCs w:val="24"/>
        </w:rPr>
        <w:t>Your practical ability to take risk (risk capacity)</w:t>
      </w:r>
    </w:p>
    <w:p w14:paraId="4848C8A9" w14:textId="77777777" w:rsidR="0057765C" w:rsidRPr="002A017A" w:rsidRDefault="0057765C" w:rsidP="0057765C">
      <w:pPr>
        <w:pStyle w:val="ListParagraph"/>
        <w:numPr>
          <w:ilvl w:val="0"/>
          <w:numId w:val="11"/>
        </w:numPr>
        <w:rPr>
          <w:rFonts w:ascii="Arial" w:hAnsi="Arial" w:cs="Arial"/>
          <w:b/>
          <w:bCs/>
          <w:sz w:val="24"/>
          <w:szCs w:val="24"/>
        </w:rPr>
      </w:pPr>
      <w:r>
        <w:rPr>
          <w:rFonts w:ascii="Arial" w:hAnsi="Arial" w:cs="Arial"/>
          <w:b/>
          <w:bCs/>
          <w:sz w:val="24"/>
          <w:szCs w:val="24"/>
        </w:rPr>
        <w:t>Your preferences regarding portfolio allocation</w:t>
      </w:r>
    </w:p>
    <w:p w14:paraId="2B46E771" w14:textId="77777777" w:rsidR="0057765C" w:rsidRPr="002A017A" w:rsidRDefault="0057765C" w:rsidP="0057765C">
      <w:pPr>
        <w:rPr>
          <w:rFonts w:ascii="Arial" w:hAnsi="Arial" w:cs="Arial"/>
          <w:sz w:val="24"/>
          <w:szCs w:val="24"/>
        </w:rPr>
      </w:pPr>
    </w:p>
    <w:p w14:paraId="5A29B10B" w14:textId="77777777" w:rsidR="0057765C" w:rsidRPr="002A017A" w:rsidRDefault="0057765C" w:rsidP="0057765C">
      <w:pPr>
        <w:rPr>
          <w:rFonts w:ascii="Arial" w:hAnsi="Arial" w:cs="Arial"/>
          <w:b/>
          <w:bCs/>
          <w:sz w:val="24"/>
          <w:szCs w:val="24"/>
        </w:rPr>
      </w:pPr>
      <w:r>
        <w:rPr>
          <w:rFonts w:ascii="Arial" w:hAnsi="Arial" w:cs="Arial"/>
          <w:b/>
          <w:bCs/>
          <w:sz w:val="24"/>
          <w:szCs w:val="24"/>
        </w:rPr>
        <w:t>1. Your Subjective Comfort with Risk</w:t>
      </w:r>
    </w:p>
    <w:p w14:paraId="0C79C86B" w14:textId="77777777" w:rsidR="0057765C" w:rsidRPr="002A017A" w:rsidRDefault="0057765C" w:rsidP="0057765C">
      <w:pPr>
        <w:rPr>
          <w:rFonts w:ascii="Arial" w:hAnsi="Arial" w:cs="Arial"/>
          <w:sz w:val="24"/>
          <w:szCs w:val="24"/>
        </w:rPr>
      </w:pPr>
      <w:r>
        <w:rPr>
          <w:rFonts w:ascii="Arial" w:hAnsi="Arial" w:cs="Arial"/>
          <w:sz w:val="24"/>
          <w:szCs w:val="24"/>
        </w:rPr>
        <w:t>A. Compared with others your age, how comfortable are you with investment risk?</w:t>
      </w:r>
    </w:p>
    <w:p w14:paraId="370A670C" w14:textId="77777777" w:rsidR="0057765C" w:rsidRPr="002A017A" w:rsidRDefault="0057765C" w:rsidP="0057765C">
      <w:pPr>
        <w:pStyle w:val="ListParagraph"/>
        <w:numPr>
          <w:ilvl w:val="0"/>
          <w:numId w:val="12"/>
        </w:numPr>
        <w:rPr>
          <w:rFonts w:ascii="Arial" w:hAnsi="Arial" w:cs="Arial"/>
          <w:sz w:val="24"/>
          <w:szCs w:val="24"/>
        </w:rPr>
      </w:pPr>
      <w:r>
        <w:rPr>
          <w:rFonts w:ascii="Arial" w:hAnsi="Arial" w:cs="Arial"/>
          <w:sz w:val="24"/>
          <w:szCs w:val="24"/>
        </w:rPr>
        <w:t>Much less comfortable</w:t>
      </w:r>
    </w:p>
    <w:p w14:paraId="251FF75A" w14:textId="77777777" w:rsidR="0057765C" w:rsidRPr="002A017A" w:rsidRDefault="0057765C" w:rsidP="0057765C">
      <w:pPr>
        <w:pStyle w:val="ListParagraph"/>
        <w:numPr>
          <w:ilvl w:val="0"/>
          <w:numId w:val="12"/>
        </w:numPr>
        <w:rPr>
          <w:rFonts w:ascii="Arial" w:hAnsi="Arial" w:cs="Arial"/>
          <w:sz w:val="24"/>
          <w:szCs w:val="24"/>
        </w:rPr>
      </w:pPr>
      <w:r>
        <w:rPr>
          <w:rFonts w:ascii="Arial" w:hAnsi="Arial" w:cs="Arial"/>
          <w:sz w:val="24"/>
          <w:szCs w:val="24"/>
        </w:rPr>
        <w:t>Slightly less comfortable</w:t>
      </w:r>
    </w:p>
    <w:p w14:paraId="5660EFD1" w14:textId="77777777" w:rsidR="0057765C" w:rsidRPr="002A017A" w:rsidRDefault="0057765C" w:rsidP="0057765C">
      <w:pPr>
        <w:pStyle w:val="ListParagraph"/>
        <w:numPr>
          <w:ilvl w:val="0"/>
          <w:numId w:val="12"/>
        </w:numPr>
        <w:rPr>
          <w:rFonts w:ascii="Arial" w:hAnsi="Arial" w:cs="Arial"/>
          <w:sz w:val="24"/>
          <w:szCs w:val="24"/>
        </w:rPr>
      </w:pPr>
      <w:r>
        <w:rPr>
          <w:rFonts w:ascii="Arial" w:hAnsi="Arial" w:cs="Arial"/>
          <w:sz w:val="24"/>
          <w:szCs w:val="24"/>
        </w:rPr>
        <w:t>About average</w:t>
      </w:r>
    </w:p>
    <w:p w14:paraId="5FDD00A3" w14:textId="77777777" w:rsidR="0057765C" w:rsidRPr="008F54E2" w:rsidRDefault="0057765C" w:rsidP="0057765C">
      <w:pPr>
        <w:pStyle w:val="ListParagraph"/>
        <w:numPr>
          <w:ilvl w:val="0"/>
          <w:numId w:val="12"/>
        </w:numPr>
        <w:rPr>
          <w:rFonts w:ascii="Arial" w:hAnsi="Arial" w:cs="Arial"/>
          <w:sz w:val="24"/>
          <w:szCs w:val="24"/>
          <w:highlight w:val="red"/>
        </w:rPr>
      </w:pPr>
      <w:r>
        <w:rPr>
          <w:rFonts w:ascii="Arial" w:hAnsi="Arial" w:cs="Arial"/>
          <w:sz w:val="24"/>
          <w:szCs w:val="24"/>
          <w:highlight w:val="red"/>
        </w:rPr>
        <w:t>Slightly more comfortable</w:t>
      </w:r>
    </w:p>
    <w:p w14:paraId="3C6E53A4" w14:textId="77777777" w:rsidR="0057765C" w:rsidRPr="002A017A" w:rsidRDefault="0057765C" w:rsidP="0057765C">
      <w:pPr>
        <w:pStyle w:val="ListParagraph"/>
        <w:numPr>
          <w:ilvl w:val="0"/>
          <w:numId w:val="12"/>
        </w:numPr>
        <w:rPr>
          <w:rFonts w:ascii="Arial" w:hAnsi="Arial" w:cs="Arial"/>
          <w:sz w:val="24"/>
          <w:szCs w:val="24"/>
        </w:rPr>
      </w:pPr>
      <w:r>
        <w:rPr>
          <w:rFonts w:ascii="Arial" w:hAnsi="Arial" w:cs="Arial"/>
          <w:sz w:val="24"/>
          <w:szCs w:val="24"/>
        </w:rPr>
        <w:t>Much more comfortable</w:t>
      </w:r>
    </w:p>
    <w:p w14:paraId="6F8BA007" w14:textId="77777777" w:rsidR="0057765C" w:rsidRPr="002A017A" w:rsidRDefault="0057765C" w:rsidP="0057765C">
      <w:pPr>
        <w:rPr>
          <w:rFonts w:ascii="Arial" w:hAnsi="Arial" w:cs="Arial"/>
          <w:sz w:val="24"/>
          <w:szCs w:val="24"/>
        </w:rPr>
      </w:pPr>
    </w:p>
    <w:p w14:paraId="5A872A7F" w14:textId="77777777" w:rsidR="0057765C" w:rsidRPr="002A017A" w:rsidRDefault="0057765C" w:rsidP="0057765C">
      <w:pPr>
        <w:rPr>
          <w:rFonts w:ascii="Arial" w:hAnsi="Arial" w:cs="Arial"/>
          <w:sz w:val="24"/>
          <w:szCs w:val="24"/>
        </w:rPr>
      </w:pPr>
      <w:r>
        <w:rPr>
          <w:rFonts w:ascii="Arial" w:hAnsi="Arial" w:cs="Arial"/>
          <w:sz w:val="24"/>
          <w:szCs w:val="24"/>
        </w:rPr>
        <w:t>B. If you had to rate your comfort level with investment risk on a scale from 0 to 100—</w:t>
      </w:r>
    </w:p>
    <w:p w14:paraId="0E763104" w14:textId="77777777" w:rsidR="0057765C" w:rsidRPr="002A017A" w:rsidRDefault="0057765C" w:rsidP="0057765C">
      <w:pPr>
        <w:rPr>
          <w:rFonts w:ascii="Arial" w:hAnsi="Arial" w:cs="Arial"/>
          <w:sz w:val="24"/>
          <w:szCs w:val="24"/>
        </w:rPr>
      </w:pPr>
      <w:r>
        <w:rPr>
          <w:rFonts w:ascii="Arial" w:hAnsi="Arial" w:cs="Arial"/>
          <w:sz w:val="24"/>
          <w:szCs w:val="24"/>
        </w:rPr>
        <w:t>50 = average comfort for someone your age</w:t>
      </w:r>
    </w:p>
    <w:p w14:paraId="674328FD" w14:textId="77777777" w:rsidR="0057765C" w:rsidRPr="002A017A" w:rsidRDefault="0057765C" w:rsidP="0057765C">
      <w:pPr>
        <w:rPr>
          <w:rFonts w:ascii="Arial" w:hAnsi="Arial" w:cs="Arial"/>
          <w:sz w:val="24"/>
          <w:szCs w:val="24"/>
        </w:rPr>
      </w:pPr>
      <w:r>
        <w:rPr>
          <w:rFonts w:ascii="Arial" w:hAnsi="Arial" w:cs="Arial"/>
          <w:sz w:val="24"/>
          <w:szCs w:val="24"/>
        </w:rPr>
        <w:t>Higher = more comfortable; lower = less comfortable</w:t>
      </w:r>
    </w:p>
    <w:p w14:paraId="16885724" w14:textId="6480CFCB" w:rsidR="0057765C" w:rsidRPr="002A017A" w:rsidRDefault="0057765C" w:rsidP="0057765C">
      <w:pPr>
        <w:rPr>
          <w:rFonts w:ascii="Arial" w:hAnsi="Arial" w:cs="Arial"/>
          <w:sz w:val="24"/>
          <w:szCs w:val="24"/>
        </w:rPr>
      </w:pPr>
      <w:r>
        <w:rPr>
          <w:rFonts w:ascii="Arial" w:hAnsi="Arial" w:cs="Arial"/>
          <w:sz w:val="24"/>
          <w:szCs w:val="24"/>
        </w:rPr>
        <w:t>Your number: _____</w:t>
      </w:r>
      <w:r>
        <w:rPr>
          <w:rFonts w:ascii="Arial" w:hAnsi="Arial" w:cs="Arial"/>
          <w:color w:val="EE0000"/>
          <w:sz w:val="24"/>
          <w:szCs w:val="24"/>
        </w:rPr>
        <w:t>65</w:t>
      </w:r>
      <w:r>
        <w:rPr>
          <w:rFonts w:ascii="Arial" w:hAnsi="Arial" w:cs="Arial"/>
          <w:sz w:val="24"/>
          <w:szCs w:val="24"/>
        </w:rPr>
        <w:t>___</w:t>
      </w:r>
    </w:p>
    <w:p w14:paraId="0783C2C5" w14:textId="77777777" w:rsidR="0057765C" w:rsidRPr="002A017A" w:rsidRDefault="0057765C" w:rsidP="0057765C">
      <w:pPr>
        <w:rPr>
          <w:rFonts w:ascii="Arial" w:hAnsi="Arial" w:cs="Arial"/>
          <w:sz w:val="24"/>
          <w:szCs w:val="24"/>
        </w:rPr>
      </w:pPr>
    </w:p>
    <w:p w14:paraId="64D3A601" w14:textId="77777777" w:rsidR="0057765C" w:rsidRDefault="0057765C" w:rsidP="0057765C">
      <w:pPr>
        <w:rPr>
          <w:rFonts w:ascii="Arial" w:hAnsi="Arial" w:cs="Arial"/>
          <w:b/>
          <w:bCs/>
          <w:sz w:val="24"/>
          <w:szCs w:val="24"/>
        </w:rPr>
      </w:pPr>
    </w:p>
    <w:p w14:paraId="2694552C" w14:textId="77777777" w:rsidR="0057765C" w:rsidRDefault="0057765C" w:rsidP="0057765C">
      <w:pPr>
        <w:rPr>
          <w:rFonts w:ascii="Arial" w:hAnsi="Arial" w:cs="Arial"/>
          <w:b/>
          <w:bCs/>
          <w:sz w:val="24"/>
          <w:szCs w:val="24"/>
        </w:rPr>
      </w:pPr>
      <w:r>
        <w:rPr>
          <w:rFonts w:ascii="Arial" w:hAnsi="Arial" w:cs="Arial"/>
          <w:b/>
          <w:bCs/>
          <w:sz w:val="24"/>
          <w:szCs w:val="24"/>
        </w:rPr>
        <w:t>2. Understanding Long-Term Investment Behavior</w:t>
      </w:r>
    </w:p>
    <w:p w14:paraId="2394468A" w14:textId="77777777" w:rsidR="0057765C" w:rsidRPr="006F19D9" w:rsidRDefault="0057765C" w:rsidP="0057765C">
      <w:pPr>
        <w:rPr>
          <w:rFonts w:ascii="Arial" w:hAnsi="Arial" w:cs="Arial"/>
          <w:sz w:val="24"/>
          <w:szCs w:val="24"/>
        </w:rPr>
      </w:pPr>
      <w:r>
        <w:rPr>
          <w:rFonts w:ascii="Arial" w:hAnsi="Arial" w:cs="Arial"/>
          <w:sz w:val="24"/>
          <w:szCs w:val="24"/>
        </w:rPr>
        <w:t>Below is a summary of expected long-term annual returns for major investment types. These ranges illustrate how much returns can vary from year to year—even when long-term averages look attractive.</w:t>
      </w:r>
    </w:p>
    <w:p w14:paraId="0A62CF8A" w14:textId="77777777" w:rsidR="0057765C" w:rsidRPr="002A017A" w:rsidRDefault="0057765C" w:rsidP="0057765C">
      <w:pPr>
        <w:rPr>
          <w:rFonts w:ascii="Arial" w:hAnsi="Arial" w:cs="Arial"/>
          <w:noProof/>
          <w:sz w:val="24"/>
          <w:szCs w:val="24"/>
        </w:rPr>
      </w:pPr>
      <w:r>
        <w:rPr>
          <w:rFonts w:ascii="Arial" w:hAnsi="Arial" w:cs="Arial"/>
          <w:noProof/>
          <w:sz w:val="24"/>
          <w:szCs w:val="24"/>
        </w:rPr>
        <w:drawing>
          <wp:inline distT="0" distB="0" distL="0" distR="0" wp14:anchorId="39AC5566" wp14:editId="23550CD0">
            <wp:extent cx="5486400" cy="3291840"/>
            <wp:effectExtent l="0" t="0" r="0" b="3810"/>
            <wp:docPr id="1138532043" name="Picture 4" descr="A graph of a marke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32043" name="Picture 4" descr="A graph of a market  AI-generated content may be incorrect."/>
                    <pic:cNvPicPr/>
                  </pic:nvPicPr>
                  <pic:blipFill>
                    <a:blip r:embed="rId6"/>
                    <a:stretch>
                      <a:fillRect/>
                    </a:stretch>
                  </pic:blipFill>
                  <pic:spPr>
                    <a:xfrm>
                      <a:off x="0" y="0"/>
                      <a:ext cx="5486400" cy="3291840"/>
                    </a:xfrm>
                    <a:prstGeom prst="rect">
                      <a:avLst/>
                    </a:prstGeom>
                  </pic:spPr>
                </pic:pic>
              </a:graphicData>
            </a:graphic>
          </wp:inline>
        </w:drawing>
      </w:r>
    </w:p>
    <w:p w14:paraId="0BC0857A" w14:textId="77777777" w:rsidR="0057765C" w:rsidRDefault="0057765C" w:rsidP="0057765C">
      <w:pPr>
        <w:rPr>
          <w:rFonts w:ascii="Arial" w:hAnsi="Arial" w:cs="Arial"/>
          <w:sz w:val="24"/>
          <w:szCs w:val="24"/>
        </w:rPr>
      </w:pPr>
      <w:r>
        <w:rPr>
          <w:rFonts w:ascii="Arial" w:hAnsi="Arial" w:cs="Arial"/>
          <w:sz w:val="24"/>
          <w:szCs w:val="24"/>
        </w:rPr>
        <w:t xml:space="preserve">Stocks are expected to provide higher average returns of about 8% compounded annually but can fluctuate widely. Money market funds and short to intermediate term bonds offer lower returns with more stability. Long bonds are expected to provide compounded returns and volatility of less than stocks.  Most investors should hold a </w:t>
      </w:r>
      <w:r>
        <w:rPr>
          <w:rFonts w:ascii="Arial" w:hAnsi="Arial" w:cs="Arial"/>
          <w:b/>
          <w:bCs/>
          <w:sz w:val="24"/>
          <w:szCs w:val="24"/>
        </w:rPr>
        <w:t>diversified mix</w:t>
      </w:r>
      <w:r>
        <w:rPr>
          <w:rFonts w:ascii="Arial" w:hAnsi="Arial" w:cs="Arial"/>
          <w:sz w:val="24"/>
          <w:szCs w:val="24"/>
        </w:rPr>
        <w:t xml:space="preserve"> of different investment types.</w:t>
      </w:r>
    </w:p>
    <w:p w14:paraId="73CD5077" w14:textId="77777777" w:rsidR="0057765C" w:rsidRDefault="0057765C" w:rsidP="0057765C">
      <w:pPr>
        <w:rPr>
          <w:rFonts w:ascii="Arial" w:hAnsi="Arial" w:cs="Arial"/>
          <w:b/>
          <w:bCs/>
          <w:sz w:val="24"/>
          <w:szCs w:val="24"/>
        </w:rPr>
      </w:pPr>
    </w:p>
    <w:p w14:paraId="2694D972" w14:textId="77777777" w:rsidR="0057765C" w:rsidRDefault="0057765C" w:rsidP="0057765C">
      <w:pPr>
        <w:rPr>
          <w:rFonts w:ascii="Arial" w:hAnsi="Arial" w:cs="Arial"/>
          <w:b/>
          <w:bCs/>
          <w:sz w:val="24"/>
          <w:szCs w:val="24"/>
        </w:rPr>
      </w:pPr>
    </w:p>
    <w:p w14:paraId="3766B9C4" w14:textId="77777777" w:rsidR="0057765C" w:rsidRDefault="0057765C" w:rsidP="0057765C">
      <w:pPr>
        <w:rPr>
          <w:rFonts w:ascii="Arial" w:hAnsi="Arial" w:cs="Arial"/>
          <w:b/>
          <w:bCs/>
          <w:sz w:val="24"/>
          <w:szCs w:val="24"/>
        </w:rPr>
      </w:pPr>
    </w:p>
    <w:p w14:paraId="7AF15563" w14:textId="77777777" w:rsidR="0057765C" w:rsidRDefault="0057765C" w:rsidP="0057765C">
      <w:pPr>
        <w:rPr>
          <w:rFonts w:ascii="Arial" w:hAnsi="Arial" w:cs="Arial"/>
          <w:b/>
          <w:bCs/>
          <w:sz w:val="24"/>
          <w:szCs w:val="24"/>
        </w:rPr>
      </w:pPr>
    </w:p>
    <w:p w14:paraId="1765B838" w14:textId="77777777" w:rsidR="0057765C" w:rsidRDefault="0057765C" w:rsidP="0057765C">
      <w:pPr>
        <w:rPr>
          <w:rFonts w:ascii="Arial" w:hAnsi="Arial" w:cs="Arial"/>
          <w:b/>
          <w:bCs/>
          <w:sz w:val="24"/>
          <w:szCs w:val="24"/>
        </w:rPr>
      </w:pPr>
    </w:p>
    <w:p w14:paraId="3458FC8F" w14:textId="77777777" w:rsidR="0057765C" w:rsidRDefault="0057765C" w:rsidP="0057765C">
      <w:pPr>
        <w:rPr>
          <w:rFonts w:ascii="Arial" w:hAnsi="Arial" w:cs="Arial"/>
          <w:b/>
          <w:bCs/>
          <w:sz w:val="24"/>
          <w:szCs w:val="24"/>
        </w:rPr>
      </w:pPr>
    </w:p>
    <w:p w14:paraId="54DDC6F9" w14:textId="77777777" w:rsidR="0057765C" w:rsidRDefault="0057765C" w:rsidP="0057765C">
      <w:pPr>
        <w:rPr>
          <w:rFonts w:ascii="Arial" w:hAnsi="Arial" w:cs="Arial"/>
          <w:b/>
          <w:bCs/>
          <w:sz w:val="24"/>
          <w:szCs w:val="24"/>
        </w:rPr>
      </w:pPr>
    </w:p>
    <w:p w14:paraId="5B27342B" w14:textId="77777777" w:rsidR="0057765C" w:rsidRPr="006F19D9" w:rsidRDefault="0057765C" w:rsidP="0057765C">
      <w:pPr>
        <w:rPr>
          <w:rFonts w:ascii="Arial" w:hAnsi="Arial" w:cs="Arial"/>
          <w:b/>
          <w:bCs/>
          <w:sz w:val="24"/>
          <w:szCs w:val="24"/>
        </w:rPr>
      </w:pPr>
      <w:r>
        <w:rPr>
          <w:rFonts w:ascii="Arial" w:hAnsi="Arial" w:cs="Arial"/>
          <w:b/>
          <w:bCs/>
          <w:sz w:val="24"/>
          <w:szCs w:val="24"/>
        </w:rPr>
        <w:lastRenderedPageBreak/>
        <w:t>3. Selecting a Long-Term Asset Allocation</w:t>
      </w:r>
    </w:p>
    <w:p w14:paraId="0A093D2D" w14:textId="77777777" w:rsidR="0057765C" w:rsidRDefault="0057765C" w:rsidP="0057765C">
      <w:pPr>
        <w:rPr>
          <w:rFonts w:ascii="Arial" w:hAnsi="Arial" w:cs="Arial"/>
          <w:sz w:val="24"/>
          <w:szCs w:val="24"/>
        </w:rPr>
      </w:pPr>
      <w:r>
        <w:rPr>
          <w:rFonts w:ascii="Arial" w:hAnsi="Arial" w:cs="Arial"/>
          <w:sz w:val="24"/>
          <w:szCs w:val="24"/>
        </w:rPr>
        <w:t>The following five portfolios are examples of including several different investment types in a portfolio in varying proportions</w:t>
      </w:r>
    </w:p>
    <w:tbl>
      <w:tblPr>
        <w:tblW w:w="7840" w:type="dxa"/>
        <w:tblLook w:val="04A0" w:firstRow="1" w:lastRow="0" w:firstColumn="1" w:lastColumn="0" w:noHBand="0" w:noVBand="1"/>
      </w:tblPr>
      <w:tblGrid>
        <w:gridCol w:w="2040"/>
        <w:gridCol w:w="1160"/>
        <w:gridCol w:w="1160"/>
        <w:gridCol w:w="1160"/>
        <w:gridCol w:w="1160"/>
        <w:gridCol w:w="1160"/>
      </w:tblGrid>
      <w:tr w:rsidR="0057765C" w:rsidRPr="000B3E54" w14:paraId="4B8DF8E2" w14:textId="77777777" w:rsidTr="002B242C">
        <w:trPr>
          <w:trHeight w:val="288"/>
        </w:trPr>
        <w:tc>
          <w:tcPr>
            <w:tcW w:w="2040" w:type="dxa"/>
            <w:tcBorders>
              <w:top w:val="single" w:sz="4" w:space="0" w:color="auto"/>
              <w:left w:val="single" w:sz="4" w:space="0" w:color="auto"/>
              <w:bottom w:val="single" w:sz="4" w:space="0" w:color="auto"/>
              <w:right w:val="single" w:sz="4" w:space="0" w:color="auto"/>
            </w:tcBorders>
            <w:noWrap/>
            <w:vAlign w:val="bottom"/>
            <w:hideMark/>
          </w:tcPr>
          <w:p w14:paraId="1F7C9BE0"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single" w:sz="4" w:space="0" w:color="auto"/>
              <w:left w:val="nil"/>
              <w:bottom w:val="single" w:sz="4" w:space="0" w:color="auto"/>
              <w:right w:val="single" w:sz="4" w:space="0" w:color="auto"/>
            </w:tcBorders>
            <w:noWrap/>
            <w:vAlign w:val="bottom"/>
            <w:hideMark/>
          </w:tcPr>
          <w:p w14:paraId="0A74A084" w14:textId="77777777" w:rsidR="0057765C" w:rsidRPr="000B3E54" w:rsidRDefault="0057765C" w:rsidP="002B242C">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A</w:t>
            </w:r>
          </w:p>
        </w:tc>
        <w:tc>
          <w:tcPr>
            <w:tcW w:w="1160" w:type="dxa"/>
            <w:tcBorders>
              <w:top w:val="single" w:sz="4" w:space="0" w:color="auto"/>
              <w:left w:val="nil"/>
              <w:bottom w:val="single" w:sz="4" w:space="0" w:color="auto"/>
              <w:right w:val="single" w:sz="4" w:space="0" w:color="auto"/>
            </w:tcBorders>
            <w:noWrap/>
            <w:vAlign w:val="bottom"/>
            <w:hideMark/>
          </w:tcPr>
          <w:p w14:paraId="373EAE03" w14:textId="77777777" w:rsidR="0057765C" w:rsidRPr="000B3E54" w:rsidRDefault="0057765C" w:rsidP="002B242C">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B</w:t>
            </w:r>
          </w:p>
        </w:tc>
        <w:tc>
          <w:tcPr>
            <w:tcW w:w="1160" w:type="dxa"/>
            <w:tcBorders>
              <w:top w:val="single" w:sz="4" w:space="0" w:color="auto"/>
              <w:left w:val="nil"/>
              <w:bottom w:val="single" w:sz="4" w:space="0" w:color="auto"/>
              <w:right w:val="single" w:sz="4" w:space="0" w:color="auto"/>
            </w:tcBorders>
            <w:noWrap/>
            <w:vAlign w:val="bottom"/>
            <w:hideMark/>
          </w:tcPr>
          <w:p w14:paraId="7AA67C8F" w14:textId="77777777" w:rsidR="0057765C" w:rsidRPr="000B3E54" w:rsidRDefault="0057765C" w:rsidP="002B242C">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w:t>
            </w:r>
          </w:p>
        </w:tc>
        <w:tc>
          <w:tcPr>
            <w:tcW w:w="1160" w:type="dxa"/>
            <w:tcBorders>
              <w:top w:val="single" w:sz="4" w:space="0" w:color="auto"/>
              <w:left w:val="nil"/>
              <w:bottom w:val="single" w:sz="4" w:space="0" w:color="auto"/>
              <w:right w:val="single" w:sz="4" w:space="0" w:color="auto"/>
            </w:tcBorders>
            <w:noWrap/>
            <w:vAlign w:val="bottom"/>
            <w:hideMark/>
          </w:tcPr>
          <w:p w14:paraId="60056120" w14:textId="77777777" w:rsidR="0057765C" w:rsidRPr="000B3E54" w:rsidRDefault="0057765C" w:rsidP="002B242C">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D</w:t>
            </w:r>
          </w:p>
        </w:tc>
        <w:tc>
          <w:tcPr>
            <w:tcW w:w="1160" w:type="dxa"/>
            <w:tcBorders>
              <w:top w:val="single" w:sz="4" w:space="0" w:color="auto"/>
              <w:left w:val="nil"/>
              <w:bottom w:val="single" w:sz="4" w:space="0" w:color="auto"/>
              <w:right w:val="single" w:sz="4" w:space="0" w:color="auto"/>
            </w:tcBorders>
            <w:noWrap/>
            <w:vAlign w:val="bottom"/>
            <w:hideMark/>
          </w:tcPr>
          <w:p w14:paraId="496BE71C" w14:textId="77777777" w:rsidR="0057765C" w:rsidRPr="000B3E54" w:rsidRDefault="0057765C" w:rsidP="002B242C">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w:t>
            </w:r>
          </w:p>
        </w:tc>
      </w:tr>
      <w:tr w:rsidR="0057765C" w:rsidRPr="000B3E54" w14:paraId="2CD740BB"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2091DC88"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Stocks</w:t>
            </w:r>
          </w:p>
        </w:tc>
        <w:tc>
          <w:tcPr>
            <w:tcW w:w="1160" w:type="dxa"/>
            <w:tcBorders>
              <w:top w:val="nil"/>
              <w:left w:val="nil"/>
              <w:bottom w:val="single" w:sz="4" w:space="0" w:color="auto"/>
              <w:right w:val="single" w:sz="4" w:space="0" w:color="auto"/>
            </w:tcBorders>
            <w:noWrap/>
            <w:vAlign w:val="bottom"/>
            <w:hideMark/>
          </w:tcPr>
          <w:p w14:paraId="16C60C8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45%</w:t>
            </w:r>
          </w:p>
        </w:tc>
        <w:tc>
          <w:tcPr>
            <w:tcW w:w="1160" w:type="dxa"/>
            <w:tcBorders>
              <w:top w:val="nil"/>
              <w:left w:val="nil"/>
              <w:bottom w:val="single" w:sz="4" w:space="0" w:color="auto"/>
              <w:right w:val="single" w:sz="4" w:space="0" w:color="auto"/>
            </w:tcBorders>
            <w:noWrap/>
            <w:vAlign w:val="bottom"/>
            <w:hideMark/>
          </w:tcPr>
          <w:p w14:paraId="46DA3BBA"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55%</w:t>
            </w:r>
          </w:p>
        </w:tc>
        <w:tc>
          <w:tcPr>
            <w:tcW w:w="1160" w:type="dxa"/>
            <w:tcBorders>
              <w:top w:val="nil"/>
              <w:left w:val="nil"/>
              <w:bottom w:val="single" w:sz="4" w:space="0" w:color="auto"/>
              <w:right w:val="single" w:sz="4" w:space="0" w:color="auto"/>
            </w:tcBorders>
            <w:noWrap/>
            <w:vAlign w:val="bottom"/>
            <w:hideMark/>
          </w:tcPr>
          <w:p w14:paraId="3D32355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65%</w:t>
            </w:r>
          </w:p>
        </w:tc>
        <w:tc>
          <w:tcPr>
            <w:tcW w:w="1160" w:type="dxa"/>
            <w:tcBorders>
              <w:top w:val="nil"/>
              <w:left w:val="nil"/>
              <w:bottom w:val="single" w:sz="4" w:space="0" w:color="auto"/>
              <w:right w:val="single" w:sz="4" w:space="0" w:color="auto"/>
            </w:tcBorders>
            <w:noWrap/>
            <w:vAlign w:val="bottom"/>
            <w:hideMark/>
          </w:tcPr>
          <w:p w14:paraId="4A365F71"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75%</w:t>
            </w:r>
          </w:p>
        </w:tc>
        <w:tc>
          <w:tcPr>
            <w:tcW w:w="1160" w:type="dxa"/>
            <w:tcBorders>
              <w:top w:val="nil"/>
              <w:left w:val="nil"/>
              <w:bottom w:val="single" w:sz="4" w:space="0" w:color="auto"/>
              <w:right w:val="single" w:sz="4" w:space="0" w:color="auto"/>
            </w:tcBorders>
            <w:noWrap/>
            <w:vAlign w:val="bottom"/>
            <w:hideMark/>
          </w:tcPr>
          <w:p w14:paraId="22F85B67"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85%</w:t>
            </w:r>
          </w:p>
        </w:tc>
      </w:tr>
      <w:tr w:rsidR="0057765C" w:rsidRPr="000B3E54" w14:paraId="1D9CAF0B"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58DB1641"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Bonds</w:t>
            </w:r>
          </w:p>
        </w:tc>
        <w:tc>
          <w:tcPr>
            <w:tcW w:w="1160" w:type="dxa"/>
            <w:tcBorders>
              <w:top w:val="nil"/>
              <w:left w:val="nil"/>
              <w:bottom w:val="single" w:sz="4" w:space="0" w:color="auto"/>
              <w:right w:val="single" w:sz="4" w:space="0" w:color="auto"/>
            </w:tcBorders>
            <w:noWrap/>
            <w:vAlign w:val="bottom"/>
            <w:hideMark/>
          </w:tcPr>
          <w:p w14:paraId="67F1B106"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50%</w:t>
            </w:r>
          </w:p>
        </w:tc>
        <w:tc>
          <w:tcPr>
            <w:tcW w:w="1160" w:type="dxa"/>
            <w:tcBorders>
              <w:top w:val="nil"/>
              <w:left w:val="nil"/>
              <w:bottom w:val="single" w:sz="4" w:space="0" w:color="auto"/>
              <w:right w:val="single" w:sz="4" w:space="0" w:color="auto"/>
            </w:tcBorders>
            <w:noWrap/>
            <w:vAlign w:val="bottom"/>
            <w:hideMark/>
          </w:tcPr>
          <w:p w14:paraId="3E212539"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40%</w:t>
            </w:r>
          </w:p>
        </w:tc>
        <w:tc>
          <w:tcPr>
            <w:tcW w:w="1160" w:type="dxa"/>
            <w:tcBorders>
              <w:top w:val="nil"/>
              <w:left w:val="nil"/>
              <w:bottom w:val="single" w:sz="4" w:space="0" w:color="auto"/>
              <w:right w:val="single" w:sz="4" w:space="0" w:color="auto"/>
            </w:tcBorders>
            <w:noWrap/>
            <w:vAlign w:val="bottom"/>
            <w:hideMark/>
          </w:tcPr>
          <w:p w14:paraId="189DC0B8"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30%</w:t>
            </w:r>
          </w:p>
        </w:tc>
        <w:tc>
          <w:tcPr>
            <w:tcW w:w="1160" w:type="dxa"/>
            <w:tcBorders>
              <w:top w:val="nil"/>
              <w:left w:val="nil"/>
              <w:bottom w:val="single" w:sz="4" w:space="0" w:color="auto"/>
              <w:right w:val="single" w:sz="4" w:space="0" w:color="auto"/>
            </w:tcBorders>
            <w:noWrap/>
            <w:vAlign w:val="bottom"/>
            <w:hideMark/>
          </w:tcPr>
          <w:p w14:paraId="76F7117B"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20%</w:t>
            </w:r>
          </w:p>
        </w:tc>
        <w:tc>
          <w:tcPr>
            <w:tcW w:w="1160" w:type="dxa"/>
            <w:tcBorders>
              <w:top w:val="nil"/>
              <w:left w:val="nil"/>
              <w:bottom w:val="single" w:sz="4" w:space="0" w:color="auto"/>
              <w:right w:val="single" w:sz="4" w:space="0" w:color="auto"/>
            </w:tcBorders>
            <w:noWrap/>
            <w:vAlign w:val="bottom"/>
            <w:hideMark/>
          </w:tcPr>
          <w:p w14:paraId="7F66963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w:t>
            </w:r>
          </w:p>
        </w:tc>
      </w:tr>
      <w:tr w:rsidR="0057765C" w:rsidRPr="000B3E54" w14:paraId="5A958AA1"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1EF3F95D"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Alternatives</w:t>
            </w:r>
          </w:p>
        </w:tc>
        <w:tc>
          <w:tcPr>
            <w:tcW w:w="1160" w:type="dxa"/>
            <w:tcBorders>
              <w:top w:val="nil"/>
              <w:left w:val="nil"/>
              <w:bottom w:val="single" w:sz="4" w:space="0" w:color="auto"/>
              <w:right w:val="single" w:sz="4" w:space="0" w:color="auto"/>
            </w:tcBorders>
            <w:noWrap/>
            <w:vAlign w:val="bottom"/>
            <w:hideMark/>
          </w:tcPr>
          <w:p w14:paraId="10B21963"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0" w:type="dxa"/>
            <w:tcBorders>
              <w:top w:val="nil"/>
              <w:left w:val="nil"/>
              <w:bottom w:val="single" w:sz="4" w:space="0" w:color="auto"/>
              <w:right w:val="single" w:sz="4" w:space="0" w:color="auto"/>
            </w:tcBorders>
            <w:noWrap/>
            <w:vAlign w:val="bottom"/>
            <w:hideMark/>
          </w:tcPr>
          <w:p w14:paraId="1B84B213"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0" w:type="dxa"/>
            <w:tcBorders>
              <w:top w:val="nil"/>
              <w:left w:val="nil"/>
              <w:bottom w:val="single" w:sz="4" w:space="0" w:color="auto"/>
              <w:right w:val="single" w:sz="4" w:space="0" w:color="auto"/>
            </w:tcBorders>
            <w:noWrap/>
            <w:vAlign w:val="bottom"/>
            <w:hideMark/>
          </w:tcPr>
          <w:p w14:paraId="4CB044D7"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0" w:type="dxa"/>
            <w:tcBorders>
              <w:top w:val="nil"/>
              <w:left w:val="nil"/>
              <w:bottom w:val="single" w:sz="4" w:space="0" w:color="auto"/>
              <w:right w:val="single" w:sz="4" w:space="0" w:color="auto"/>
            </w:tcBorders>
            <w:noWrap/>
            <w:vAlign w:val="bottom"/>
            <w:hideMark/>
          </w:tcPr>
          <w:p w14:paraId="214DBFF4"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0" w:type="dxa"/>
            <w:tcBorders>
              <w:top w:val="nil"/>
              <w:left w:val="nil"/>
              <w:bottom w:val="single" w:sz="4" w:space="0" w:color="auto"/>
              <w:right w:val="single" w:sz="4" w:space="0" w:color="auto"/>
            </w:tcBorders>
            <w:noWrap/>
            <w:vAlign w:val="bottom"/>
            <w:hideMark/>
          </w:tcPr>
          <w:p w14:paraId="3EC9B0E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5%</w:t>
            </w:r>
          </w:p>
        </w:tc>
      </w:tr>
      <w:tr w:rsidR="0057765C" w:rsidRPr="000B3E54" w14:paraId="496E6636"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35F4191B"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7073F9BF"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2C410588"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557DF0AC"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5B86CE26"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5D9F7593"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r>
      <w:tr w:rsidR="0057765C" w:rsidRPr="000B3E54" w14:paraId="078E2B6C"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2B540F58"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Total</w:t>
            </w:r>
          </w:p>
        </w:tc>
        <w:tc>
          <w:tcPr>
            <w:tcW w:w="1160" w:type="dxa"/>
            <w:tcBorders>
              <w:top w:val="nil"/>
              <w:left w:val="nil"/>
              <w:bottom w:val="single" w:sz="4" w:space="0" w:color="auto"/>
              <w:right w:val="single" w:sz="4" w:space="0" w:color="auto"/>
            </w:tcBorders>
            <w:noWrap/>
            <w:vAlign w:val="bottom"/>
            <w:hideMark/>
          </w:tcPr>
          <w:p w14:paraId="52DD61C2"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100%</w:t>
            </w:r>
          </w:p>
        </w:tc>
        <w:tc>
          <w:tcPr>
            <w:tcW w:w="1160" w:type="dxa"/>
            <w:tcBorders>
              <w:top w:val="nil"/>
              <w:left w:val="nil"/>
              <w:bottom w:val="single" w:sz="4" w:space="0" w:color="auto"/>
              <w:right w:val="single" w:sz="4" w:space="0" w:color="auto"/>
            </w:tcBorders>
            <w:noWrap/>
            <w:vAlign w:val="bottom"/>
            <w:hideMark/>
          </w:tcPr>
          <w:p w14:paraId="11FC319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100%</w:t>
            </w:r>
          </w:p>
        </w:tc>
        <w:tc>
          <w:tcPr>
            <w:tcW w:w="1160" w:type="dxa"/>
            <w:tcBorders>
              <w:top w:val="nil"/>
              <w:left w:val="nil"/>
              <w:bottom w:val="single" w:sz="4" w:space="0" w:color="auto"/>
              <w:right w:val="single" w:sz="4" w:space="0" w:color="auto"/>
            </w:tcBorders>
            <w:noWrap/>
            <w:vAlign w:val="bottom"/>
            <w:hideMark/>
          </w:tcPr>
          <w:p w14:paraId="13060BE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100%</w:t>
            </w:r>
          </w:p>
        </w:tc>
        <w:tc>
          <w:tcPr>
            <w:tcW w:w="1160" w:type="dxa"/>
            <w:tcBorders>
              <w:top w:val="nil"/>
              <w:left w:val="nil"/>
              <w:bottom w:val="single" w:sz="4" w:space="0" w:color="auto"/>
              <w:right w:val="single" w:sz="4" w:space="0" w:color="auto"/>
            </w:tcBorders>
            <w:noWrap/>
            <w:vAlign w:val="bottom"/>
            <w:hideMark/>
          </w:tcPr>
          <w:p w14:paraId="6A024A71"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100%</w:t>
            </w:r>
          </w:p>
        </w:tc>
        <w:tc>
          <w:tcPr>
            <w:tcW w:w="1160" w:type="dxa"/>
            <w:tcBorders>
              <w:top w:val="nil"/>
              <w:left w:val="nil"/>
              <w:bottom w:val="single" w:sz="4" w:space="0" w:color="auto"/>
              <w:right w:val="single" w:sz="4" w:space="0" w:color="auto"/>
            </w:tcBorders>
            <w:noWrap/>
            <w:vAlign w:val="bottom"/>
            <w:hideMark/>
          </w:tcPr>
          <w:p w14:paraId="74EEC87C"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100%</w:t>
            </w:r>
          </w:p>
        </w:tc>
      </w:tr>
      <w:tr w:rsidR="0057765C" w:rsidRPr="000B3E54" w14:paraId="4C90C3E5"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742470C6"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35075205"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74E2477B"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27DD2655"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6A144D0A"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c>
          <w:tcPr>
            <w:tcW w:w="1160" w:type="dxa"/>
            <w:tcBorders>
              <w:top w:val="nil"/>
              <w:left w:val="nil"/>
              <w:bottom w:val="single" w:sz="4" w:space="0" w:color="auto"/>
              <w:right w:val="single" w:sz="4" w:space="0" w:color="auto"/>
            </w:tcBorders>
            <w:noWrap/>
            <w:vAlign w:val="bottom"/>
            <w:hideMark/>
          </w:tcPr>
          <w:p w14:paraId="27DC6162"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w:t>
            </w:r>
          </w:p>
        </w:tc>
      </w:tr>
      <w:tr w:rsidR="0057765C" w:rsidRPr="000B3E54" w14:paraId="2F10FCB2"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68B7F31E"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Expected Return</w:t>
            </w:r>
          </w:p>
        </w:tc>
        <w:tc>
          <w:tcPr>
            <w:tcW w:w="1160" w:type="dxa"/>
            <w:tcBorders>
              <w:top w:val="nil"/>
              <w:left w:val="nil"/>
              <w:bottom w:val="single" w:sz="4" w:space="0" w:color="auto"/>
              <w:right w:val="single" w:sz="4" w:space="0" w:color="auto"/>
            </w:tcBorders>
            <w:noWrap/>
            <w:vAlign w:val="bottom"/>
            <w:hideMark/>
          </w:tcPr>
          <w:p w14:paraId="73F6B85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6.00%</w:t>
            </w:r>
          </w:p>
        </w:tc>
        <w:tc>
          <w:tcPr>
            <w:tcW w:w="1160" w:type="dxa"/>
            <w:tcBorders>
              <w:top w:val="nil"/>
              <w:left w:val="nil"/>
              <w:bottom w:val="single" w:sz="4" w:space="0" w:color="auto"/>
              <w:right w:val="single" w:sz="4" w:space="0" w:color="auto"/>
            </w:tcBorders>
            <w:noWrap/>
            <w:vAlign w:val="bottom"/>
            <w:hideMark/>
          </w:tcPr>
          <w:p w14:paraId="5B09BCE9"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6.25%</w:t>
            </w:r>
          </w:p>
        </w:tc>
        <w:tc>
          <w:tcPr>
            <w:tcW w:w="1160" w:type="dxa"/>
            <w:tcBorders>
              <w:top w:val="nil"/>
              <w:left w:val="nil"/>
              <w:bottom w:val="single" w:sz="4" w:space="0" w:color="auto"/>
              <w:right w:val="single" w:sz="4" w:space="0" w:color="auto"/>
            </w:tcBorders>
            <w:noWrap/>
            <w:vAlign w:val="bottom"/>
            <w:hideMark/>
          </w:tcPr>
          <w:p w14:paraId="1FA12D8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6.75%</w:t>
            </w:r>
          </w:p>
        </w:tc>
        <w:tc>
          <w:tcPr>
            <w:tcW w:w="1160" w:type="dxa"/>
            <w:tcBorders>
              <w:top w:val="nil"/>
              <w:left w:val="nil"/>
              <w:bottom w:val="single" w:sz="4" w:space="0" w:color="auto"/>
              <w:right w:val="single" w:sz="4" w:space="0" w:color="auto"/>
            </w:tcBorders>
            <w:noWrap/>
            <w:vAlign w:val="bottom"/>
            <w:hideMark/>
          </w:tcPr>
          <w:p w14:paraId="055D848B"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7.00%</w:t>
            </w:r>
          </w:p>
        </w:tc>
        <w:tc>
          <w:tcPr>
            <w:tcW w:w="1160" w:type="dxa"/>
            <w:tcBorders>
              <w:top w:val="nil"/>
              <w:left w:val="nil"/>
              <w:bottom w:val="single" w:sz="4" w:space="0" w:color="auto"/>
              <w:right w:val="single" w:sz="4" w:space="0" w:color="auto"/>
            </w:tcBorders>
            <w:noWrap/>
            <w:vAlign w:val="bottom"/>
            <w:hideMark/>
          </w:tcPr>
          <w:p w14:paraId="6FB287C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7.50%</w:t>
            </w:r>
          </w:p>
        </w:tc>
      </w:tr>
      <w:tr w:rsidR="0057765C" w:rsidRPr="000B3E54" w14:paraId="0FCBA815" w14:textId="77777777" w:rsidTr="002B242C">
        <w:trPr>
          <w:trHeight w:val="288"/>
        </w:trPr>
        <w:tc>
          <w:tcPr>
            <w:tcW w:w="2040" w:type="dxa"/>
            <w:tcBorders>
              <w:top w:val="nil"/>
              <w:left w:val="single" w:sz="4" w:space="0" w:color="auto"/>
              <w:bottom w:val="single" w:sz="4" w:space="0" w:color="auto"/>
              <w:right w:val="single" w:sz="4" w:space="0" w:color="auto"/>
            </w:tcBorders>
            <w:noWrap/>
            <w:vAlign w:val="bottom"/>
            <w:hideMark/>
          </w:tcPr>
          <w:p w14:paraId="39BB131A" w14:textId="77777777" w:rsidR="0057765C" w:rsidRPr="000B3E54" w:rsidRDefault="0057765C" w:rsidP="002B242C">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Annualized Volatility</w:t>
            </w:r>
          </w:p>
        </w:tc>
        <w:tc>
          <w:tcPr>
            <w:tcW w:w="1160" w:type="dxa"/>
            <w:tcBorders>
              <w:top w:val="nil"/>
              <w:left w:val="nil"/>
              <w:bottom w:val="single" w:sz="4" w:space="0" w:color="auto"/>
              <w:right w:val="single" w:sz="4" w:space="0" w:color="auto"/>
            </w:tcBorders>
            <w:noWrap/>
            <w:vAlign w:val="bottom"/>
            <w:hideMark/>
          </w:tcPr>
          <w:p w14:paraId="58D8AF80"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8.00%</w:t>
            </w:r>
          </w:p>
        </w:tc>
        <w:tc>
          <w:tcPr>
            <w:tcW w:w="1160" w:type="dxa"/>
            <w:tcBorders>
              <w:top w:val="nil"/>
              <w:left w:val="nil"/>
              <w:bottom w:val="single" w:sz="4" w:space="0" w:color="auto"/>
              <w:right w:val="single" w:sz="4" w:space="0" w:color="auto"/>
            </w:tcBorders>
            <w:noWrap/>
            <w:vAlign w:val="bottom"/>
            <w:hideMark/>
          </w:tcPr>
          <w:p w14:paraId="0BD1A04A"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9.50%</w:t>
            </w:r>
          </w:p>
        </w:tc>
        <w:tc>
          <w:tcPr>
            <w:tcW w:w="1160" w:type="dxa"/>
            <w:tcBorders>
              <w:top w:val="nil"/>
              <w:left w:val="nil"/>
              <w:bottom w:val="single" w:sz="4" w:space="0" w:color="auto"/>
              <w:right w:val="single" w:sz="4" w:space="0" w:color="auto"/>
            </w:tcBorders>
            <w:noWrap/>
            <w:vAlign w:val="bottom"/>
            <w:hideMark/>
          </w:tcPr>
          <w:p w14:paraId="03FEE1B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11.00%</w:t>
            </w:r>
          </w:p>
        </w:tc>
        <w:tc>
          <w:tcPr>
            <w:tcW w:w="1160" w:type="dxa"/>
            <w:tcBorders>
              <w:top w:val="nil"/>
              <w:left w:val="nil"/>
              <w:bottom w:val="single" w:sz="4" w:space="0" w:color="auto"/>
              <w:right w:val="single" w:sz="4" w:space="0" w:color="auto"/>
            </w:tcBorders>
            <w:noWrap/>
            <w:vAlign w:val="bottom"/>
            <w:hideMark/>
          </w:tcPr>
          <w:p w14:paraId="64270BF7"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13.00%</w:t>
            </w:r>
          </w:p>
        </w:tc>
        <w:tc>
          <w:tcPr>
            <w:tcW w:w="1160" w:type="dxa"/>
            <w:tcBorders>
              <w:top w:val="nil"/>
              <w:left w:val="nil"/>
              <w:bottom w:val="single" w:sz="4" w:space="0" w:color="auto"/>
              <w:right w:val="single" w:sz="4" w:space="0" w:color="auto"/>
            </w:tcBorders>
            <w:noWrap/>
            <w:vAlign w:val="bottom"/>
            <w:hideMark/>
          </w:tcPr>
          <w:p w14:paraId="4902E9AF" w14:textId="77777777" w:rsidR="0057765C" w:rsidRPr="000B3E54" w:rsidRDefault="0057765C" w:rsidP="002B242C">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15.00%</w:t>
            </w:r>
          </w:p>
        </w:tc>
      </w:tr>
    </w:tbl>
    <w:p w14:paraId="12FBE860" w14:textId="77777777" w:rsidR="0057765C" w:rsidRDefault="0057765C" w:rsidP="0057765C">
      <w:pPr>
        <w:rPr>
          <w:rFonts w:ascii="Arial" w:hAnsi="Arial" w:cs="Arial"/>
          <w:sz w:val="24"/>
          <w:szCs w:val="24"/>
        </w:rPr>
      </w:pPr>
    </w:p>
    <w:p w14:paraId="650E6DEF" w14:textId="77777777" w:rsidR="0057765C" w:rsidRDefault="0057765C" w:rsidP="0057765C">
      <w:pPr>
        <w:rPr>
          <w:rFonts w:ascii="Arial" w:hAnsi="Arial" w:cs="Arial"/>
          <w:sz w:val="24"/>
          <w:szCs w:val="24"/>
        </w:rPr>
      </w:pPr>
      <w:r>
        <w:rPr>
          <w:rFonts w:ascii="Arial" w:hAnsi="Arial" w:cs="Arial"/>
          <w:sz w:val="24"/>
          <w:szCs w:val="24"/>
        </w:rPr>
        <w:t>Notice that as the proportion of stocks in a portfolio increases both the expected return and volatility increase.  The graphic below shows the potential range of annual returns for these different portfolios. The long-term average expected return is depicted in the middle of the bar while the range of annual returns is depicted by the length of the bar.</w:t>
      </w:r>
    </w:p>
    <w:p w14:paraId="759C5977" w14:textId="77777777" w:rsidR="0057765C" w:rsidRDefault="0057765C" w:rsidP="0057765C">
      <w:pPr>
        <w:rPr>
          <w:rFonts w:ascii="Arial" w:hAnsi="Arial" w:cs="Arial"/>
          <w:sz w:val="24"/>
          <w:szCs w:val="24"/>
        </w:rPr>
      </w:pPr>
    </w:p>
    <w:p w14:paraId="0A211CCD" w14:textId="77777777" w:rsidR="0057765C" w:rsidRDefault="0057765C" w:rsidP="0057765C">
      <w:pPr>
        <w:rPr>
          <w:rFonts w:ascii="Arial" w:hAnsi="Arial" w:cs="Arial"/>
          <w:sz w:val="24"/>
          <w:szCs w:val="24"/>
        </w:rPr>
      </w:pPr>
      <w:r>
        <w:rPr>
          <w:rFonts w:ascii="Arial" w:hAnsi="Arial" w:cs="Arial"/>
          <w:noProof/>
          <w:sz w:val="24"/>
          <w:szCs w:val="24"/>
        </w:rPr>
        <w:drawing>
          <wp:inline distT="0" distB="0" distL="0" distR="0" wp14:anchorId="10D94A7A" wp14:editId="7B0AE5A9">
            <wp:extent cx="4880759" cy="2788924"/>
            <wp:effectExtent l="0" t="0" r="0" b="0"/>
            <wp:docPr id="987428672" name="Picture 2" descr="A graph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8672" name="Picture 2" descr="A graph of a graph  AI-generated content may be incorrect."/>
                    <pic:cNvPicPr/>
                  </pic:nvPicPr>
                  <pic:blipFill>
                    <a:blip r:embed="rId7"/>
                    <a:stretch>
                      <a:fillRect/>
                    </a:stretch>
                  </pic:blipFill>
                  <pic:spPr>
                    <a:xfrm>
                      <a:off x="0" y="0"/>
                      <a:ext cx="4895284" cy="2797224"/>
                    </a:xfrm>
                    <a:prstGeom prst="rect">
                      <a:avLst/>
                    </a:prstGeom>
                  </pic:spPr>
                </pic:pic>
              </a:graphicData>
            </a:graphic>
          </wp:inline>
        </w:drawing>
      </w:r>
    </w:p>
    <w:p w14:paraId="335A8D9C" w14:textId="295A9B24" w:rsidR="0057765C" w:rsidRDefault="0057765C" w:rsidP="0057765C">
      <w:pPr>
        <w:rPr>
          <w:rFonts w:ascii="Arial" w:hAnsi="Arial" w:cs="Arial"/>
          <w:sz w:val="24"/>
          <w:szCs w:val="24"/>
        </w:rPr>
      </w:pPr>
      <w:r>
        <w:rPr>
          <w:rFonts w:ascii="Arial" w:hAnsi="Arial" w:cs="Arial"/>
          <w:sz w:val="24"/>
          <w:szCs w:val="24"/>
        </w:rPr>
        <w:t>Which of these allocations are the most comfortable to you, A, B, C, D or E?  You may select more than one or suggest something in between.  ___</w:t>
      </w:r>
      <w:r>
        <w:rPr>
          <w:rFonts w:ascii="Arial" w:hAnsi="Arial" w:cs="Arial"/>
          <w:color w:val="EE0000"/>
          <w:sz w:val="24"/>
          <w:szCs w:val="24"/>
        </w:rPr>
        <w:t>C/D</w:t>
      </w:r>
      <w:r>
        <w:rPr>
          <w:rFonts w:ascii="Arial" w:hAnsi="Arial" w:cs="Arial"/>
          <w:sz w:val="24"/>
          <w:szCs w:val="24"/>
        </w:rPr>
        <w:t>______</w:t>
      </w:r>
    </w:p>
    <w:p w14:paraId="33F768CC" w14:textId="77777777" w:rsidR="0057765C" w:rsidRPr="002A017A" w:rsidRDefault="0057765C" w:rsidP="0057765C">
      <w:pPr>
        <w:rPr>
          <w:rFonts w:ascii="Arial" w:hAnsi="Arial" w:cs="Arial"/>
          <w:sz w:val="24"/>
          <w:szCs w:val="24"/>
        </w:rPr>
      </w:pPr>
    </w:p>
    <w:p w14:paraId="357C2CC2" w14:textId="77777777" w:rsidR="0057765C" w:rsidRPr="002A017A" w:rsidRDefault="0057765C" w:rsidP="0057765C">
      <w:pPr>
        <w:rPr>
          <w:rFonts w:ascii="Arial" w:hAnsi="Arial" w:cs="Arial"/>
          <w:sz w:val="24"/>
          <w:szCs w:val="24"/>
        </w:rPr>
      </w:pPr>
      <w:r>
        <w:rPr>
          <w:rFonts w:ascii="Arial" w:hAnsi="Arial" w:cs="Arial"/>
          <w:sz w:val="24"/>
          <w:szCs w:val="24"/>
        </w:rPr>
        <w:lastRenderedPageBreak/>
        <w:t>4. Evaluating Your Reaction to Market Declines</w:t>
      </w:r>
    </w:p>
    <w:p w14:paraId="77CDCF5D" w14:textId="77777777" w:rsidR="0057765C" w:rsidRPr="00130316" w:rsidRDefault="0057765C" w:rsidP="0057765C">
      <w:pPr>
        <w:rPr>
          <w:rFonts w:ascii="Arial" w:hAnsi="Arial" w:cs="Arial"/>
          <w:sz w:val="24"/>
          <w:szCs w:val="24"/>
        </w:rPr>
      </w:pPr>
      <w:r>
        <w:rPr>
          <w:rFonts w:ascii="Arial" w:hAnsi="Arial" w:cs="Arial"/>
          <w:sz w:val="24"/>
          <w:szCs w:val="24"/>
        </w:rPr>
        <w:t>Extreme situations have been known to occur such as 2008 when stocks, bonds and other investments all declined at once.  Even a diversified portfolio dropped in value by about 25% during 2008.  Here is the range of outcomes for different allocations:</w:t>
      </w:r>
    </w:p>
    <w:tbl>
      <w:tblPr>
        <w:tblStyle w:val="TableGrid"/>
        <w:tblW w:w="0" w:type="auto"/>
        <w:tblLook w:val="04A0" w:firstRow="1" w:lastRow="0" w:firstColumn="1" w:lastColumn="0" w:noHBand="0" w:noVBand="1"/>
      </w:tblPr>
      <w:tblGrid>
        <w:gridCol w:w="4359"/>
        <w:gridCol w:w="4271"/>
      </w:tblGrid>
      <w:tr w:rsidR="0057765C" w:rsidRPr="0079582C" w14:paraId="07339989" w14:textId="77777777" w:rsidTr="002B242C">
        <w:tc>
          <w:tcPr>
            <w:tcW w:w="4675" w:type="dxa"/>
          </w:tcPr>
          <w:p w14:paraId="2D99082A" w14:textId="77777777" w:rsidR="0057765C" w:rsidRPr="0079582C" w:rsidRDefault="0057765C" w:rsidP="002B242C">
            <w:pPr>
              <w:jc w:val="center"/>
              <w:rPr>
                <w:rFonts w:ascii="Arial" w:hAnsi="Arial" w:cs="Arial"/>
                <w:b/>
                <w:bCs/>
                <w:sz w:val="28"/>
                <w:szCs w:val="28"/>
              </w:rPr>
            </w:pPr>
            <w:r>
              <w:rPr>
                <w:rFonts w:ascii="Arial" w:hAnsi="Arial" w:cs="Arial"/>
                <w:b/>
                <w:bCs/>
                <w:sz w:val="28"/>
                <w:szCs w:val="28"/>
              </w:rPr>
              <w:t>Allocation</w:t>
            </w:r>
          </w:p>
        </w:tc>
        <w:tc>
          <w:tcPr>
            <w:tcW w:w="4675" w:type="dxa"/>
          </w:tcPr>
          <w:p w14:paraId="62DB03F4" w14:textId="77777777" w:rsidR="0057765C" w:rsidRPr="0079582C" w:rsidRDefault="0057765C" w:rsidP="002B242C">
            <w:pPr>
              <w:jc w:val="center"/>
              <w:rPr>
                <w:rFonts w:ascii="Arial" w:hAnsi="Arial" w:cs="Arial"/>
                <w:b/>
                <w:bCs/>
                <w:sz w:val="28"/>
                <w:szCs w:val="28"/>
              </w:rPr>
            </w:pPr>
            <w:r>
              <w:rPr>
                <w:rFonts w:ascii="Arial" w:hAnsi="Arial" w:cs="Arial"/>
                <w:b/>
                <w:bCs/>
                <w:sz w:val="28"/>
                <w:szCs w:val="28"/>
              </w:rPr>
              <w:t>Loss</w:t>
            </w:r>
          </w:p>
        </w:tc>
      </w:tr>
      <w:tr w:rsidR="0057765C" w:rsidRPr="0079582C" w14:paraId="56686C17" w14:textId="77777777" w:rsidTr="002B242C">
        <w:tc>
          <w:tcPr>
            <w:tcW w:w="4675" w:type="dxa"/>
          </w:tcPr>
          <w:p w14:paraId="6195D3D7" w14:textId="77777777" w:rsidR="0057765C" w:rsidRPr="0079582C" w:rsidRDefault="0057765C" w:rsidP="002B242C">
            <w:pPr>
              <w:jc w:val="center"/>
              <w:rPr>
                <w:rFonts w:ascii="Arial" w:hAnsi="Arial" w:cs="Arial"/>
                <w:sz w:val="28"/>
                <w:szCs w:val="28"/>
              </w:rPr>
            </w:pPr>
            <w:r>
              <w:rPr>
                <w:rFonts w:ascii="Arial" w:hAnsi="Arial" w:cs="Arial"/>
                <w:sz w:val="28"/>
                <w:szCs w:val="28"/>
              </w:rPr>
              <w:t>20% Stocks/80% Bonds</w:t>
            </w:r>
          </w:p>
        </w:tc>
        <w:tc>
          <w:tcPr>
            <w:tcW w:w="4675" w:type="dxa"/>
          </w:tcPr>
          <w:p w14:paraId="4BECCC5A" w14:textId="77777777" w:rsidR="0057765C" w:rsidRPr="0079582C" w:rsidRDefault="0057765C" w:rsidP="002B242C">
            <w:pPr>
              <w:jc w:val="center"/>
              <w:rPr>
                <w:rFonts w:ascii="Arial" w:hAnsi="Arial" w:cs="Arial"/>
                <w:sz w:val="28"/>
                <w:szCs w:val="28"/>
              </w:rPr>
            </w:pPr>
            <w:r>
              <w:rPr>
                <w:rFonts w:ascii="Arial" w:hAnsi="Arial" w:cs="Arial"/>
                <w:sz w:val="28"/>
                <w:szCs w:val="28"/>
              </w:rPr>
              <w:t>-3%</w:t>
            </w:r>
          </w:p>
        </w:tc>
      </w:tr>
      <w:tr w:rsidR="0057765C" w:rsidRPr="0079582C" w14:paraId="56FA8EE9" w14:textId="77777777" w:rsidTr="002B242C">
        <w:tc>
          <w:tcPr>
            <w:tcW w:w="4675" w:type="dxa"/>
          </w:tcPr>
          <w:p w14:paraId="7F078E8F" w14:textId="77777777" w:rsidR="0057765C" w:rsidRPr="0079582C" w:rsidRDefault="0057765C" w:rsidP="002B242C">
            <w:pPr>
              <w:jc w:val="center"/>
              <w:rPr>
                <w:rFonts w:ascii="Arial" w:hAnsi="Arial" w:cs="Arial"/>
                <w:sz w:val="28"/>
                <w:szCs w:val="28"/>
              </w:rPr>
            </w:pPr>
            <w:r>
              <w:rPr>
                <w:rFonts w:ascii="Arial" w:hAnsi="Arial" w:cs="Arial"/>
                <w:sz w:val="28"/>
                <w:szCs w:val="28"/>
              </w:rPr>
              <w:t>30% Stocks/70% Bonds</w:t>
            </w:r>
          </w:p>
        </w:tc>
        <w:tc>
          <w:tcPr>
            <w:tcW w:w="4675" w:type="dxa"/>
          </w:tcPr>
          <w:p w14:paraId="5FF50CD7" w14:textId="77777777" w:rsidR="0057765C" w:rsidRPr="0079582C" w:rsidRDefault="0057765C" w:rsidP="002B242C">
            <w:pPr>
              <w:jc w:val="center"/>
              <w:rPr>
                <w:rFonts w:ascii="Arial" w:hAnsi="Arial" w:cs="Arial"/>
                <w:sz w:val="28"/>
                <w:szCs w:val="28"/>
              </w:rPr>
            </w:pPr>
            <w:r>
              <w:rPr>
                <w:rFonts w:ascii="Arial" w:hAnsi="Arial" w:cs="Arial"/>
                <w:sz w:val="28"/>
                <w:szCs w:val="28"/>
              </w:rPr>
              <w:t>-8%</w:t>
            </w:r>
          </w:p>
        </w:tc>
      </w:tr>
      <w:tr w:rsidR="0057765C" w:rsidRPr="0079582C" w14:paraId="50964A8B" w14:textId="77777777" w:rsidTr="002B242C">
        <w:tc>
          <w:tcPr>
            <w:tcW w:w="4675" w:type="dxa"/>
          </w:tcPr>
          <w:p w14:paraId="654975AE" w14:textId="77777777" w:rsidR="0057765C" w:rsidRPr="0079582C" w:rsidRDefault="0057765C" w:rsidP="002B242C">
            <w:pPr>
              <w:jc w:val="center"/>
              <w:rPr>
                <w:rFonts w:ascii="Arial" w:hAnsi="Arial" w:cs="Arial"/>
                <w:sz w:val="28"/>
                <w:szCs w:val="28"/>
              </w:rPr>
            </w:pPr>
            <w:r>
              <w:rPr>
                <w:rFonts w:ascii="Arial" w:hAnsi="Arial" w:cs="Arial"/>
                <w:sz w:val="28"/>
                <w:szCs w:val="28"/>
              </w:rPr>
              <w:t>40% Stocks/60% Bonds</w:t>
            </w:r>
          </w:p>
        </w:tc>
        <w:tc>
          <w:tcPr>
            <w:tcW w:w="4675" w:type="dxa"/>
          </w:tcPr>
          <w:p w14:paraId="4E3489C6" w14:textId="77777777" w:rsidR="0057765C" w:rsidRPr="0079582C" w:rsidRDefault="0057765C" w:rsidP="002B242C">
            <w:pPr>
              <w:jc w:val="center"/>
              <w:rPr>
                <w:rFonts w:ascii="Arial" w:hAnsi="Arial" w:cs="Arial"/>
                <w:sz w:val="28"/>
                <w:szCs w:val="28"/>
              </w:rPr>
            </w:pPr>
            <w:r>
              <w:rPr>
                <w:rFonts w:ascii="Arial" w:hAnsi="Arial" w:cs="Arial"/>
                <w:sz w:val="28"/>
                <w:szCs w:val="28"/>
              </w:rPr>
              <w:t>-12%</w:t>
            </w:r>
          </w:p>
        </w:tc>
      </w:tr>
      <w:tr w:rsidR="0057765C" w:rsidRPr="0079582C" w14:paraId="2600A8D7" w14:textId="77777777" w:rsidTr="002B242C">
        <w:tc>
          <w:tcPr>
            <w:tcW w:w="4675" w:type="dxa"/>
          </w:tcPr>
          <w:p w14:paraId="30B699A1" w14:textId="77777777" w:rsidR="0057765C" w:rsidRPr="0079582C" w:rsidRDefault="0057765C" w:rsidP="002B242C">
            <w:pPr>
              <w:jc w:val="center"/>
              <w:rPr>
                <w:rFonts w:ascii="Arial" w:hAnsi="Arial" w:cs="Arial"/>
                <w:sz w:val="28"/>
                <w:szCs w:val="28"/>
              </w:rPr>
            </w:pPr>
            <w:r>
              <w:rPr>
                <w:rFonts w:ascii="Arial" w:hAnsi="Arial" w:cs="Arial"/>
                <w:sz w:val="28"/>
                <w:szCs w:val="28"/>
              </w:rPr>
              <w:t>50% Stocks/50% Bonds</w:t>
            </w:r>
          </w:p>
        </w:tc>
        <w:tc>
          <w:tcPr>
            <w:tcW w:w="4675" w:type="dxa"/>
          </w:tcPr>
          <w:p w14:paraId="683074E0" w14:textId="77777777" w:rsidR="0057765C" w:rsidRPr="0079582C" w:rsidRDefault="0057765C" w:rsidP="002B242C">
            <w:pPr>
              <w:jc w:val="center"/>
              <w:rPr>
                <w:rFonts w:ascii="Arial" w:hAnsi="Arial" w:cs="Arial"/>
                <w:sz w:val="28"/>
                <w:szCs w:val="28"/>
              </w:rPr>
            </w:pPr>
            <w:r>
              <w:rPr>
                <w:rFonts w:ascii="Arial" w:hAnsi="Arial" w:cs="Arial"/>
                <w:sz w:val="28"/>
                <w:szCs w:val="28"/>
              </w:rPr>
              <w:t>-16%</w:t>
            </w:r>
          </w:p>
        </w:tc>
      </w:tr>
      <w:tr w:rsidR="0057765C" w:rsidRPr="0079582C" w14:paraId="0A5B2507" w14:textId="77777777" w:rsidTr="002B242C">
        <w:tc>
          <w:tcPr>
            <w:tcW w:w="4675" w:type="dxa"/>
          </w:tcPr>
          <w:p w14:paraId="025A166D" w14:textId="77777777" w:rsidR="0057765C" w:rsidRPr="0079582C" w:rsidRDefault="0057765C" w:rsidP="002B242C">
            <w:pPr>
              <w:jc w:val="center"/>
              <w:rPr>
                <w:rFonts w:ascii="Arial" w:hAnsi="Arial" w:cs="Arial"/>
                <w:sz w:val="28"/>
                <w:szCs w:val="28"/>
              </w:rPr>
            </w:pPr>
            <w:r>
              <w:rPr>
                <w:rFonts w:ascii="Arial" w:hAnsi="Arial" w:cs="Arial"/>
                <w:sz w:val="28"/>
                <w:szCs w:val="28"/>
              </w:rPr>
              <w:t>60% Stocks/40% Bonds</w:t>
            </w:r>
          </w:p>
        </w:tc>
        <w:tc>
          <w:tcPr>
            <w:tcW w:w="4675" w:type="dxa"/>
          </w:tcPr>
          <w:p w14:paraId="551B10AA" w14:textId="77777777" w:rsidR="0057765C" w:rsidRPr="0079582C" w:rsidRDefault="0057765C" w:rsidP="002B242C">
            <w:pPr>
              <w:jc w:val="center"/>
              <w:rPr>
                <w:rFonts w:ascii="Arial" w:hAnsi="Arial" w:cs="Arial"/>
                <w:sz w:val="28"/>
                <w:szCs w:val="28"/>
              </w:rPr>
            </w:pPr>
            <w:r>
              <w:rPr>
                <w:rFonts w:ascii="Arial" w:hAnsi="Arial" w:cs="Arial"/>
                <w:sz w:val="28"/>
                <w:szCs w:val="28"/>
              </w:rPr>
              <w:t>-20%</w:t>
            </w:r>
          </w:p>
        </w:tc>
      </w:tr>
      <w:tr w:rsidR="0057765C" w:rsidRPr="0079582C" w14:paraId="3DFA65E0" w14:textId="77777777" w:rsidTr="002B242C">
        <w:tc>
          <w:tcPr>
            <w:tcW w:w="4675" w:type="dxa"/>
          </w:tcPr>
          <w:p w14:paraId="65A82ACC" w14:textId="77777777" w:rsidR="0057765C" w:rsidRPr="0079582C" w:rsidRDefault="0057765C" w:rsidP="002B242C">
            <w:pPr>
              <w:jc w:val="center"/>
              <w:rPr>
                <w:rFonts w:ascii="Arial" w:hAnsi="Arial" w:cs="Arial"/>
                <w:sz w:val="28"/>
                <w:szCs w:val="28"/>
              </w:rPr>
            </w:pPr>
            <w:r>
              <w:rPr>
                <w:rFonts w:ascii="Arial" w:hAnsi="Arial" w:cs="Arial"/>
                <w:sz w:val="28"/>
                <w:szCs w:val="28"/>
              </w:rPr>
              <w:t>70% Stocks/30% Bonds</w:t>
            </w:r>
          </w:p>
        </w:tc>
        <w:tc>
          <w:tcPr>
            <w:tcW w:w="4675" w:type="dxa"/>
          </w:tcPr>
          <w:p w14:paraId="7F7EC938" w14:textId="77777777" w:rsidR="0057765C" w:rsidRPr="0079582C" w:rsidRDefault="0057765C" w:rsidP="002B242C">
            <w:pPr>
              <w:jc w:val="center"/>
              <w:rPr>
                <w:rFonts w:ascii="Arial" w:hAnsi="Arial" w:cs="Arial"/>
                <w:sz w:val="28"/>
                <w:szCs w:val="28"/>
              </w:rPr>
            </w:pPr>
            <w:r>
              <w:rPr>
                <w:rFonts w:ascii="Arial" w:hAnsi="Arial" w:cs="Arial"/>
                <w:sz w:val="28"/>
                <w:szCs w:val="28"/>
              </w:rPr>
              <w:t>-24%</w:t>
            </w:r>
          </w:p>
        </w:tc>
      </w:tr>
      <w:tr w:rsidR="0057765C" w:rsidRPr="0079582C" w14:paraId="77DC252D" w14:textId="77777777" w:rsidTr="002B242C">
        <w:tc>
          <w:tcPr>
            <w:tcW w:w="4675" w:type="dxa"/>
          </w:tcPr>
          <w:p w14:paraId="4A231805" w14:textId="77777777" w:rsidR="0057765C" w:rsidRPr="0079582C" w:rsidRDefault="0057765C" w:rsidP="002B242C">
            <w:pPr>
              <w:jc w:val="center"/>
              <w:rPr>
                <w:rFonts w:ascii="Arial" w:hAnsi="Arial" w:cs="Arial"/>
                <w:sz w:val="28"/>
                <w:szCs w:val="28"/>
              </w:rPr>
            </w:pPr>
            <w:r>
              <w:rPr>
                <w:rFonts w:ascii="Arial" w:hAnsi="Arial" w:cs="Arial"/>
                <w:sz w:val="28"/>
                <w:szCs w:val="28"/>
              </w:rPr>
              <w:t>80% Stocks/20% Bonds</w:t>
            </w:r>
          </w:p>
        </w:tc>
        <w:tc>
          <w:tcPr>
            <w:tcW w:w="4675" w:type="dxa"/>
          </w:tcPr>
          <w:p w14:paraId="3F5D42E5" w14:textId="77777777" w:rsidR="0057765C" w:rsidRPr="0079582C" w:rsidRDefault="0057765C" w:rsidP="002B242C">
            <w:pPr>
              <w:jc w:val="center"/>
              <w:rPr>
                <w:rFonts w:ascii="Arial" w:hAnsi="Arial" w:cs="Arial"/>
                <w:sz w:val="28"/>
                <w:szCs w:val="28"/>
              </w:rPr>
            </w:pPr>
            <w:r>
              <w:rPr>
                <w:rFonts w:ascii="Arial" w:hAnsi="Arial" w:cs="Arial"/>
                <w:sz w:val="28"/>
                <w:szCs w:val="28"/>
              </w:rPr>
              <w:t>-29%</w:t>
            </w:r>
          </w:p>
        </w:tc>
      </w:tr>
      <w:tr w:rsidR="0057765C" w:rsidRPr="0079582C" w14:paraId="1698D52A" w14:textId="77777777" w:rsidTr="002B242C">
        <w:tc>
          <w:tcPr>
            <w:tcW w:w="4675" w:type="dxa"/>
          </w:tcPr>
          <w:p w14:paraId="538B3552" w14:textId="77777777" w:rsidR="0057765C" w:rsidRPr="0079582C" w:rsidRDefault="0057765C" w:rsidP="002B242C">
            <w:pPr>
              <w:jc w:val="center"/>
              <w:rPr>
                <w:rFonts w:ascii="Arial" w:hAnsi="Arial" w:cs="Arial"/>
                <w:sz w:val="28"/>
                <w:szCs w:val="28"/>
              </w:rPr>
            </w:pPr>
            <w:r>
              <w:rPr>
                <w:rFonts w:ascii="Arial" w:hAnsi="Arial" w:cs="Arial"/>
                <w:sz w:val="28"/>
                <w:szCs w:val="28"/>
              </w:rPr>
              <w:t>90% Stocks/10% Bonds</w:t>
            </w:r>
          </w:p>
        </w:tc>
        <w:tc>
          <w:tcPr>
            <w:tcW w:w="4675" w:type="dxa"/>
          </w:tcPr>
          <w:p w14:paraId="1E895BF0" w14:textId="77777777" w:rsidR="0057765C" w:rsidRPr="0079582C" w:rsidRDefault="0057765C" w:rsidP="002B242C">
            <w:pPr>
              <w:jc w:val="center"/>
              <w:rPr>
                <w:rFonts w:ascii="Arial" w:hAnsi="Arial" w:cs="Arial"/>
                <w:sz w:val="28"/>
                <w:szCs w:val="28"/>
              </w:rPr>
            </w:pPr>
            <w:r>
              <w:rPr>
                <w:rFonts w:ascii="Arial" w:hAnsi="Arial" w:cs="Arial"/>
                <w:sz w:val="28"/>
                <w:szCs w:val="28"/>
              </w:rPr>
              <w:t>-33%</w:t>
            </w:r>
          </w:p>
        </w:tc>
      </w:tr>
      <w:tr w:rsidR="0057765C" w:rsidRPr="0079582C" w14:paraId="51BAA656" w14:textId="77777777" w:rsidTr="002B242C">
        <w:tc>
          <w:tcPr>
            <w:tcW w:w="4675" w:type="dxa"/>
          </w:tcPr>
          <w:p w14:paraId="003670F9" w14:textId="77777777" w:rsidR="0057765C" w:rsidRPr="0079582C" w:rsidRDefault="0057765C" w:rsidP="002B242C">
            <w:pPr>
              <w:jc w:val="center"/>
              <w:rPr>
                <w:rFonts w:ascii="Arial" w:hAnsi="Arial" w:cs="Arial"/>
                <w:sz w:val="28"/>
                <w:szCs w:val="28"/>
              </w:rPr>
            </w:pPr>
            <w:r>
              <w:rPr>
                <w:rFonts w:ascii="Arial" w:hAnsi="Arial" w:cs="Arial"/>
                <w:sz w:val="28"/>
                <w:szCs w:val="28"/>
              </w:rPr>
              <w:t>100% Stocks/0% Bonds</w:t>
            </w:r>
          </w:p>
        </w:tc>
        <w:tc>
          <w:tcPr>
            <w:tcW w:w="4675" w:type="dxa"/>
          </w:tcPr>
          <w:p w14:paraId="4398A339" w14:textId="77777777" w:rsidR="0057765C" w:rsidRPr="0079582C" w:rsidRDefault="0057765C" w:rsidP="002B242C">
            <w:pPr>
              <w:jc w:val="center"/>
              <w:rPr>
                <w:rFonts w:ascii="Arial" w:hAnsi="Arial" w:cs="Arial"/>
                <w:sz w:val="28"/>
                <w:szCs w:val="28"/>
              </w:rPr>
            </w:pPr>
            <w:r>
              <w:rPr>
                <w:rFonts w:ascii="Arial" w:hAnsi="Arial" w:cs="Arial"/>
                <w:sz w:val="28"/>
                <w:szCs w:val="28"/>
              </w:rPr>
              <w:t>-37%</w:t>
            </w:r>
          </w:p>
        </w:tc>
      </w:tr>
    </w:tbl>
    <w:p w14:paraId="008C174C" w14:textId="77777777" w:rsidR="0057765C" w:rsidRDefault="0057765C" w:rsidP="0057765C">
      <w:pPr>
        <w:rPr>
          <w:rFonts w:ascii="Arial" w:hAnsi="Arial" w:cs="Arial"/>
          <w:sz w:val="24"/>
          <w:szCs w:val="24"/>
        </w:rPr>
      </w:pPr>
    </w:p>
    <w:p w14:paraId="19668139" w14:textId="3ED8ADC6" w:rsidR="0057765C" w:rsidRPr="002A017A" w:rsidRDefault="0057765C" w:rsidP="0057765C">
      <w:pPr>
        <w:rPr>
          <w:rFonts w:ascii="Arial" w:hAnsi="Arial" w:cs="Arial"/>
          <w:sz w:val="24"/>
          <w:szCs w:val="24"/>
        </w:rPr>
      </w:pPr>
      <w:r>
        <w:rPr>
          <w:rFonts w:ascii="Arial" w:hAnsi="Arial" w:cs="Arial"/>
          <w:sz w:val="24"/>
          <w:szCs w:val="24"/>
        </w:rPr>
        <w:t>What is your maximum comfortable one-year loss (%)?: ___</w:t>
      </w:r>
      <w:r>
        <w:rPr>
          <w:rFonts w:ascii="Arial" w:hAnsi="Arial" w:cs="Arial"/>
          <w:color w:val="EE0000"/>
          <w:sz w:val="24"/>
          <w:szCs w:val="24"/>
        </w:rPr>
        <w:t>25%</w:t>
      </w:r>
      <w:r>
        <w:rPr>
          <w:rFonts w:ascii="Arial" w:hAnsi="Arial" w:cs="Arial"/>
          <w:sz w:val="24"/>
          <w:szCs w:val="24"/>
        </w:rPr>
        <w:t>_____</w:t>
      </w:r>
    </w:p>
    <w:p w14:paraId="0C782D8B" w14:textId="77777777" w:rsidR="0057765C" w:rsidRDefault="0057765C" w:rsidP="0057765C">
      <w:pPr>
        <w:rPr>
          <w:rFonts w:ascii="Arial" w:hAnsi="Arial" w:cs="Arial"/>
          <w:b/>
          <w:bCs/>
          <w:sz w:val="24"/>
          <w:szCs w:val="24"/>
        </w:rPr>
      </w:pPr>
    </w:p>
    <w:p w14:paraId="7977F78F" w14:textId="77777777" w:rsidR="0057765C" w:rsidRPr="006F19D9" w:rsidRDefault="0057765C" w:rsidP="0057765C">
      <w:pPr>
        <w:rPr>
          <w:rFonts w:ascii="Arial" w:hAnsi="Arial" w:cs="Arial"/>
          <w:b/>
          <w:bCs/>
          <w:sz w:val="24"/>
          <w:szCs w:val="24"/>
        </w:rPr>
      </w:pPr>
      <w:r>
        <w:rPr>
          <w:rFonts w:ascii="Arial" w:hAnsi="Arial" w:cs="Arial"/>
          <w:b/>
          <w:bCs/>
          <w:sz w:val="24"/>
          <w:szCs w:val="24"/>
        </w:rPr>
        <w:t>5. Additional Factors Affecting Risk Capacity</w:t>
      </w:r>
    </w:p>
    <w:p w14:paraId="0A612B24" w14:textId="77777777" w:rsidR="0057765C" w:rsidRPr="002A017A" w:rsidRDefault="0057765C" w:rsidP="0057765C">
      <w:pPr>
        <w:rPr>
          <w:rFonts w:ascii="Arial" w:hAnsi="Arial" w:cs="Arial"/>
          <w:sz w:val="24"/>
          <w:szCs w:val="24"/>
        </w:rPr>
      </w:pPr>
      <w:r>
        <w:rPr>
          <w:rFonts w:ascii="Arial" w:hAnsi="Arial" w:cs="Arial"/>
          <w:sz w:val="24"/>
          <w:szCs w:val="24"/>
        </w:rPr>
        <w:t>A. When do you expect to begin withdrawing funds?</w:t>
      </w:r>
    </w:p>
    <w:p w14:paraId="4CC0BB73" w14:textId="77777777" w:rsidR="0057765C" w:rsidRPr="00466372" w:rsidRDefault="0057765C" w:rsidP="0057765C">
      <w:pPr>
        <w:pStyle w:val="ListParagraph"/>
        <w:numPr>
          <w:ilvl w:val="0"/>
          <w:numId w:val="13"/>
        </w:numPr>
        <w:rPr>
          <w:rFonts w:ascii="Arial" w:hAnsi="Arial" w:cs="Arial"/>
          <w:sz w:val="24"/>
          <w:szCs w:val="24"/>
          <w:highlight w:val="red"/>
        </w:rPr>
      </w:pPr>
      <w:r>
        <w:rPr>
          <w:rFonts w:ascii="Arial" w:hAnsi="Arial" w:cs="Arial"/>
          <w:sz w:val="24"/>
          <w:szCs w:val="24"/>
          <w:highlight w:val="red"/>
        </w:rPr>
        <w:t>&lt;3 years</w:t>
      </w:r>
    </w:p>
    <w:p w14:paraId="18E40D89" w14:textId="77777777" w:rsidR="0057765C" w:rsidRPr="006F19D9" w:rsidRDefault="0057765C" w:rsidP="0057765C">
      <w:pPr>
        <w:pStyle w:val="ListParagraph"/>
        <w:numPr>
          <w:ilvl w:val="0"/>
          <w:numId w:val="13"/>
        </w:numPr>
        <w:rPr>
          <w:rFonts w:ascii="Arial" w:hAnsi="Arial" w:cs="Arial"/>
          <w:sz w:val="24"/>
          <w:szCs w:val="24"/>
        </w:rPr>
      </w:pPr>
      <w:r>
        <w:rPr>
          <w:rFonts w:ascii="Arial" w:hAnsi="Arial" w:cs="Arial"/>
          <w:sz w:val="24"/>
          <w:szCs w:val="24"/>
        </w:rPr>
        <w:t>3–7 years</w:t>
      </w:r>
    </w:p>
    <w:p w14:paraId="7FE803AD" w14:textId="77777777" w:rsidR="0057765C" w:rsidRPr="006F19D9" w:rsidRDefault="0057765C" w:rsidP="0057765C">
      <w:pPr>
        <w:pStyle w:val="ListParagraph"/>
        <w:numPr>
          <w:ilvl w:val="0"/>
          <w:numId w:val="13"/>
        </w:numPr>
        <w:rPr>
          <w:rFonts w:ascii="Arial" w:hAnsi="Arial" w:cs="Arial"/>
          <w:sz w:val="24"/>
          <w:szCs w:val="24"/>
        </w:rPr>
      </w:pPr>
      <w:r>
        <w:rPr>
          <w:rFonts w:ascii="Arial" w:hAnsi="Arial" w:cs="Arial"/>
          <w:sz w:val="24"/>
          <w:szCs w:val="24"/>
        </w:rPr>
        <w:t>8–15 years</w:t>
      </w:r>
    </w:p>
    <w:p w14:paraId="02E20BEC" w14:textId="77777777" w:rsidR="0057765C" w:rsidRPr="006F19D9" w:rsidRDefault="0057765C" w:rsidP="0057765C">
      <w:pPr>
        <w:pStyle w:val="ListParagraph"/>
        <w:numPr>
          <w:ilvl w:val="0"/>
          <w:numId w:val="13"/>
        </w:numPr>
        <w:rPr>
          <w:rFonts w:ascii="Arial" w:hAnsi="Arial" w:cs="Arial"/>
          <w:sz w:val="24"/>
          <w:szCs w:val="24"/>
        </w:rPr>
      </w:pPr>
      <w:r>
        <w:rPr>
          <w:rFonts w:ascii="Arial" w:hAnsi="Arial" w:cs="Arial"/>
          <w:sz w:val="24"/>
          <w:szCs w:val="24"/>
        </w:rPr>
        <w:t>&gt;15 years</w:t>
      </w:r>
    </w:p>
    <w:p w14:paraId="34F00AD1" w14:textId="77777777" w:rsidR="0057765C" w:rsidRPr="002A017A" w:rsidRDefault="0057765C" w:rsidP="0057765C">
      <w:pPr>
        <w:rPr>
          <w:rFonts w:ascii="Arial" w:hAnsi="Arial" w:cs="Arial"/>
          <w:sz w:val="24"/>
          <w:szCs w:val="24"/>
        </w:rPr>
      </w:pPr>
    </w:p>
    <w:p w14:paraId="77DBC29A" w14:textId="77777777" w:rsidR="0057765C" w:rsidRPr="002A017A" w:rsidRDefault="0057765C" w:rsidP="0057765C">
      <w:pPr>
        <w:rPr>
          <w:rFonts w:ascii="Arial" w:hAnsi="Arial" w:cs="Arial"/>
          <w:sz w:val="24"/>
          <w:szCs w:val="24"/>
        </w:rPr>
      </w:pPr>
      <w:r>
        <w:rPr>
          <w:rFonts w:ascii="Arial" w:hAnsi="Arial" w:cs="Arial"/>
          <w:sz w:val="24"/>
          <w:szCs w:val="24"/>
        </w:rPr>
        <w:t>B. How stable is your current income?</w:t>
      </w:r>
    </w:p>
    <w:p w14:paraId="44C57426" w14:textId="77777777" w:rsidR="0057765C" w:rsidRPr="006F19D9" w:rsidRDefault="0057765C" w:rsidP="0057765C">
      <w:pPr>
        <w:pStyle w:val="ListParagraph"/>
        <w:numPr>
          <w:ilvl w:val="0"/>
          <w:numId w:val="14"/>
        </w:numPr>
        <w:rPr>
          <w:rFonts w:ascii="Arial" w:hAnsi="Arial" w:cs="Arial"/>
          <w:sz w:val="24"/>
          <w:szCs w:val="24"/>
        </w:rPr>
      </w:pPr>
      <w:r>
        <w:rPr>
          <w:rFonts w:ascii="Arial" w:hAnsi="Arial" w:cs="Arial"/>
          <w:sz w:val="24"/>
          <w:szCs w:val="24"/>
        </w:rPr>
        <w:t>Very stable</w:t>
      </w:r>
    </w:p>
    <w:p w14:paraId="6605A65A" w14:textId="77777777" w:rsidR="0057765C" w:rsidRPr="00466372" w:rsidRDefault="0057765C" w:rsidP="0057765C">
      <w:pPr>
        <w:pStyle w:val="ListParagraph"/>
        <w:numPr>
          <w:ilvl w:val="0"/>
          <w:numId w:val="14"/>
        </w:numPr>
        <w:rPr>
          <w:rFonts w:ascii="Arial" w:hAnsi="Arial" w:cs="Arial"/>
          <w:sz w:val="24"/>
          <w:szCs w:val="24"/>
          <w:highlight w:val="red"/>
        </w:rPr>
      </w:pPr>
      <w:r>
        <w:rPr>
          <w:rFonts w:ascii="Arial" w:hAnsi="Arial" w:cs="Arial"/>
          <w:sz w:val="24"/>
          <w:szCs w:val="24"/>
          <w:highlight w:val="red"/>
        </w:rPr>
        <w:t>Mostly stable</w:t>
      </w:r>
    </w:p>
    <w:p w14:paraId="01CBAEA7" w14:textId="77777777" w:rsidR="0057765C" w:rsidRPr="006F19D9" w:rsidRDefault="0057765C" w:rsidP="0057765C">
      <w:pPr>
        <w:pStyle w:val="ListParagraph"/>
        <w:numPr>
          <w:ilvl w:val="0"/>
          <w:numId w:val="14"/>
        </w:numPr>
        <w:rPr>
          <w:rFonts w:ascii="Arial" w:hAnsi="Arial" w:cs="Arial"/>
          <w:sz w:val="24"/>
          <w:szCs w:val="24"/>
        </w:rPr>
      </w:pPr>
      <w:r>
        <w:rPr>
          <w:rFonts w:ascii="Arial" w:hAnsi="Arial" w:cs="Arial"/>
          <w:sz w:val="24"/>
          <w:szCs w:val="24"/>
        </w:rPr>
        <w:t>Somewhat uncertain</w:t>
      </w:r>
    </w:p>
    <w:p w14:paraId="7DF7FBFB" w14:textId="77777777" w:rsidR="0057765C" w:rsidRPr="006F19D9" w:rsidRDefault="0057765C" w:rsidP="0057765C">
      <w:pPr>
        <w:pStyle w:val="ListParagraph"/>
        <w:numPr>
          <w:ilvl w:val="0"/>
          <w:numId w:val="14"/>
        </w:numPr>
        <w:rPr>
          <w:rFonts w:ascii="Arial" w:hAnsi="Arial" w:cs="Arial"/>
          <w:sz w:val="24"/>
          <w:szCs w:val="24"/>
        </w:rPr>
      </w:pPr>
      <w:r>
        <w:rPr>
          <w:rFonts w:ascii="Arial" w:hAnsi="Arial" w:cs="Arial"/>
          <w:sz w:val="24"/>
          <w:szCs w:val="24"/>
        </w:rPr>
        <w:t>Highly uncertain</w:t>
      </w:r>
    </w:p>
    <w:p w14:paraId="2D8AB8AF" w14:textId="77777777" w:rsidR="0057765C" w:rsidRPr="002A017A" w:rsidRDefault="0057765C" w:rsidP="0057765C">
      <w:pPr>
        <w:rPr>
          <w:rFonts w:ascii="Arial" w:hAnsi="Arial" w:cs="Arial"/>
          <w:sz w:val="24"/>
          <w:szCs w:val="24"/>
        </w:rPr>
      </w:pPr>
    </w:p>
    <w:p w14:paraId="3DDBDCBA" w14:textId="77777777" w:rsidR="0057765C" w:rsidRPr="002A017A" w:rsidRDefault="0057765C" w:rsidP="0057765C">
      <w:pPr>
        <w:rPr>
          <w:rFonts w:ascii="Arial" w:hAnsi="Arial" w:cs="Arial"/>
          <w:sz w:val="24"/>
          <w:szCs w:val="24"/>
        </w:rPr>
      </w:pPr>
      <w:r>
        <w:rPr>
          <w:rFonts w:ascii="Arial" w:hAnsi="Arial" w:cs="Arial"/>
          <w:sz w:val="24"/>
          <w:szCs w:val="24"/>
        </w:rPr>
        <w:t>C. Emergency savings?</w:t>
      </w:r>
    </w:p>
    <w:p w14:paraId="36AFAC87" w14:textId="77777777" w:rsidR="0057765C" w:rsidRPr="006F19D9" w:rsidRDefault="0057765C" w:rsidP="0057765C">
      <w:pPr>
        <w:pStyle w:val="ListParagraph"/>
        <w:numPr>
          <w:ilvl w:val="0"/>
          <w:numId w:val="15"/>
        </w:numPr>
        <w:rPr>
          <w:rFonts w:ascii="Arial" w:hAnsi="Arial" w:cs="Arial"/>
          <w:sz w:val="24"/>
          <w:szCs w:val="24"/>
        </w:rPr>
      </w:pPr>
      <w:r>
        <w:rPr>
          <w:rFonts w:ascii="Arial" w:hAnsi="Arial" w:cs="Arial"/>
          <w:sz w:val="24"/>
          <w:szCs w:val="24"/>
        </w:rPr>
        <w:lastRenderedPageBreak/>
        <w:t>&gt;6 months</w:t>
      </w:r>
    </w:p>
    <w:p w14:paraId="0C7A9289" w14:textId="77777777" w:rsidR="0057765C" w:rsidRPr="009623F0" w:rsidRDefault="0057765C" w:rsidP="0057765C">
      <w:pPr>
        <w:pStyle w:val="ListParagraph"/>
        <w:numPr>
          <w:ilvl w:val="0"/>
          <w:numId w:val="15"/>
        </w:numPr>
        <w:rPr>
          <w:rFonts w:ascii="Arial" w:hAnsi="Arial" w:cs="Arial"/>
          <w:sz w:val="24"/>
          <w:szCs w:val="24"/>
          <w:highlight w:val="red"/>
        </w:rPr>
      </w:pPr>
      <w:r>
        <w:rPr>
          <w:rFonts w:ascii="Arial" w:hAnsi="Arial" w:cs="Arial"/>
          <w:sz w:val="24"/>
          <w:szCs w:val="24"/>
          <w:highlight w:val="red"/>
        </w:rPr>
        <w:t>3–6 months</w:t>
      </w:r>
    </w:p>
    <w:p w14:paraId="55543CED" w14:textId="77777777" w:rsidR="0057765C" w:rsidRPr="006F19D9" w:rsidRDefault="0057765C" w:rsidP="0057765C">
      <w:pPr>
        <w:pStyle w:val="ListParagraph"/>
        <w:numPr>
          <w:ilvl w:val="0"/>
          <w:numId w:val="15"/>
        </w:numPr>
        <w:rPr>
          <w:rFonts w:ascii="Arial" w:hAnsi="Arial" w:cs="Arial"/>
          <w:sz w:val="24"/>
          <w:szCs w:val="24"/>
        </w:rPr>
      </w:pPr>
      <w:r>
        <w:rPr>
          <w:rFonts w:ascii="Arial" w:hAnsi="Arial" w:cs="Arial"/>
          <w:sz w:val="24"/>
          <w:szCs w:val="24"/>
        </w:rPr>
        <w:t>&lt;3 months</w:t>
      </w:r>
    </w:p>
    <w:p w14:paraId="1BB241EB" w14:textId="77777777" w:rsidR="0057765C" w:rsidRPr="006F19D9" w:rsidRDefault="0057765C" w:rsidP="0057765C">
      <w:pPr>
        <w:pStyle w:val="ListParagraph"/>
        <w:numPr>
          <w:ilvl w:val="0"/>
          <w:numId w:val="15"/>
        </w:numPr>
        <w:rPr>
          <w:rFonts w:ascii="Arial" w:hAnsi="Arial" w:cs="Arial"/>
          <w:sz w:val="24"/>
          <w:szCs w:val="24"/>
        </w:rPr>
      </w:pPr>
      <w:r>
        <w:rPr>
          <w:rFonts w:ascii="Arial" w:hAnsi="Arial" w:cs="Arial"/>
          <w:sz w:val="24"/>
          <w:szCs w:val="24"/>
        </w:rPr>
        <w:t>None</w:t>
      </w:r>
    </w:p>
    <w:p w14:paraId="2097847A" w14:textId="77777777" w:rsidR="0057765C" w:rsidRPr="002A017A" w:rsidRDefault="0057765C" w:rsidP="0057765C">
      <w:pPr>
        <w:rPr>
          <w:rFonts w:ascii="Arial" w:hAnsi="Arial" w:cs="Arial"/>
          <w:sz w:val="24"/>
          <w:szCs w:val="24"/>
        </w:rPr>
      </w:pPr>
    </w:p>
    <w:p w14:paraId="6FC20752" w14:textId="77777777" w:rsidR="0057765C" w:rsidRPr="002A017A" w:rsidRDefault="0057765C" w:rsidP="0057765C">
      <w:pPr>
        <w:rPr>
          <w:rFonts w:ascii="Arial" w:hAnsi="Arial" w:cs="Arial"/>
          <w:sz w:val="24"/>
          <w:szCs w:val="24"/>
        </w:rPr>
      </w:pPr>
      <w:r>
        <w:rPr>
          <w:rFonts w:ascii="Arial" w:hAnsi="Arial" w:cs="Arial"/>
          <w:sz w:val="24"/>
          <w:szCs w:val="24"/>
        </w:rPr>
        <w:t>6. Final Thoughts</w:t>
      </w:r>
    </w:p>
    <w:p w14:paraId="019FCE2D" w14:textId="77777777" w:rsidR="0057765C" w:rsidRPr="002A017A" w:rsidRDefault="0057765C" w:rsidP="0057765C">
      <w:pPr>
        <w:rPr>
          <w:rFonts w:ascii="Arial" w:hAnsi="Arial" w:cs="Arial"/>
          <w:sz w:val="24"/>
          <w:szCs w:val="24"/>
        </w:rPr>
      </w:pPr>
      <w:r>
        <w:rPr>
          <w:rFonts w:ascii="Arial" w:hAnsi="Arial" w:cs="Arial"/>
          <w:sz w:val="24"/>
          <w:szCs w:val="24"/>
        </w:rPr>
        <w:t>Additional information you would like us to consider:</w:t>
      </w:r>
    </w:p>
    <w:p w14:paraId="6AB551B6"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p w14:paraId="490CAA41"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p w14:paraId="05EC5D94"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p w14:paraId="57CEA1B3"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p w14:paraId="2D1E2CF1"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p w14:paraId="79AED604" w14:textId="77777777" w:rsidR="0057765C" w:rsidRPr="002A017A" w:rsidRDefault="0057765C" w:rsidP="0057765C">
      <w:pPr>
        <w:rPr>
          <w:rFonts w:ascii="Arial" w:hAnsi="Arial" w:cs="Arial"/>
          <w:sz w:val="24"/>
          <w:szCs w:val="24"/>
        </w:rPr>
      </w:pPr>
      <w:r>
        <w:rPr>
          <w:rFonts w:ascii="Arial" w:hAnsi="Arial" w:cs="Arial"/>
          <w:sz w:val="24"/>
          <w:szCs w:val="24"/>
        </w:rPr>
        <w:t>__________________________________________________________</w:t>
      </w:r>
    </w:p>
    <w:sectPr w:rsidR="0057765C" w:rsidRPr="002A01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87642"/>
    <w:multiLevelType w:val="hybridMultilevel"/>
    <w:tmpl w:val="31E44B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C1A94"/>
    <w:multiLevelType w:val="hybridMultilevel"/>
    <w:tmpl w:val="9BF0E2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262F2"/>
    <w:multiLevelType w:val="hybridMultilevel"/>
    <w:tmpl w:val="2E4A56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76A78"/>
    <w:multiLevelType w:val="hybridMultilevel"/>
    <w:tmpl w:val="A888DD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291E99"/>
    <w:multiLevelType w:val="hybridMultilevel"/>
    <w:tmpl w:val="8EE8D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507579"/>
    <w:multiLevelType w:val="hybridMultilevel"/>
    <w:tmpl w:val="E8A0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028323">
    <w:abstractNumId w:val="8"/>
  </w:num>
  <w:num w:numId="2" w16cid:durableId="1953433950">
    <w:abstractNumId w:val="6"/>
  </w:num>
  <w:num w:numId="3" w16cid:durableId="313919408">
    <w:abstractNumId w:val="5"/>
  </w:num>
  <w:num w:numId="4" w16cid:durableId="1510604877">
    <w:abstractNumId w:val="4"/>
  </w:num>
  <w:num w:numId="5" w16cid:durableId="121924532">
    <w:abstractNumId w:val="7"/>
  </w:num>
  <w:num w:numId="6" w16cid:durableId="112674624">
    <w:abstractNumId w:val="3"/>
  </w:num>
  <w:num w:numId="7" w16cid:durableId="1893228591">
    <w:abstractNumId w:val="2"/>
  </w:num>
  <w:num w:numId="8" w16cid:durableId="1378775247">
    <w:abstractNumId w:val="1"/>
  </w:num>
  <w:num w:numId="9" w16cid:durableId="1214544066">
    <w:abstractNumId w:val="0"/>
  </w:num>
  <w:num w:numId="10" w16cid:durableId="574554482">
    <w:abstractNumId w:val="13"/>
  </w:num>
  <w:num w:numId="11" w16cid:durableId="2029872704">
    <w:abstractNumId w:val="14"/>
  </w:num>
  <w:num w:numId="12" w16cid:durableId="1864707838">
    <w:abstractNumId w:val="9"/>
  </w:num>
  <w:num w:numId="13" w16cid:durableId="351032280">
    <w:abstractNumId w:val="12"/>
  </w:num>
  <w:num w:numId="14" w16cid:durableId="1589732590">
    <w:abstractNumId w:val="11"/>
  </w:num>
  <w:num w:numId="15" w16cid:durableId="1119837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703"/>
    <w:rsid w:val="000B2DBC"/>
    <w:rsid w:val="000E5088"/>
    <w:rsid w:val="00144F68"/>
    <w:rsid w:val="0015074B"/>
    <w:rsid w:val="00253584"/>
    <w:rsid w:val="00267DCE"/>
    <w:rsid w:val="0029639D"/>
    <w:rsid w:val="00320F68"/>
    <w:rsid w:val="00326F90"/>
    <w:rsid w:val="0035580C"/>
    <w:rsid w:val="00357E8C"/>
    <w:rsid w:val="00370F37"/>
    <w:rsid w:val="003763CA"/>
    <w:rsid w:val="003A4E5B"/>
    <w:rsid w:val="003B6AA6"/>
    <w:rsid w:val="003D4AAF"/>
    <w:rsid w:val="004320F8"/>
    <w:rsid w:val="00452CDF"/>
    <w:rsid w:val="00466372"/>
    <w:rsid w:val="00474EDE"/>
    <w:rsid w:val="0048094E"/>
    <w:rsid w:val="00523B15"/>
    <w:rsid w:val="00535528"/>
    <w:rsid w:val="00573A87"/>
    <w:rsid w:val="0057765C"/>
    <w:rsid w:val="005B6D61"/>
    <w:rsid w:val="00667B28"/>
    <w:rsid w:val="0067676F"/>
    <w:rsid w:val="006971FA"/>
    <w:rsid w:val="00753D01"/>
    <w:rsid w:val="00757EF4"/>
    <w:rsid w:val="007C737A"/>
    <w:rsid w:val="008A7715"/>
    <w:rsid w:val="008C07A6"/>
    <w:rsid w:val="008F54E2"/>
    <w:rsid w:val="009327AC"/>
    <w:rsid w:val="009623F0"/>
    <w:rsid w:val="0099288F"/>
    <w:rsid w:val="009B23B0"/>
    <w:rsid w:val="009C01A4"/>
    <w:rsid w:val="009D6140"/>
    <w:rsid w:val="00A00ECB"/>
    <w:rsid w:val="00A134BD"/>
    <w:rsid w:val="00A729E1"/>
    <w:rsid w:val="00AA1D8D"/>
    <w:rsid w:val="00AE37EF"/>
    <w:rsid w:val="00B35A5B"/>
    <w:rsid w:val="00B47730"/>
    <w:rsid w:val="00B57334"/>
    <w:rsid w:val="00B6015B"/>
    <w:rsid w:val="00C5124D"/>
    <w:rsid w:val="00CB0664"/>
    <w:rsid w:val="00D515E4"/>
    <w:rsid w:val="00D61B06"/>
    <w:rsid w:val="00DC4D72"/>
    <w:rsid w:val="00E2181F"/>
    <w:rsid w:val="00E43D18"/>
    <w:rsid w:val="00E55F9B"/>
    <w:rsid w:val="00E67CEC"/>
    <w:rsid w:val="00EF2737"/>
    <w:rsid w:val="00F45F2C"/>
    <w:rsid w:val="00F8685D"/>
    <w:rsid w:val="00FC693F"/>
    <w:rsid w:val="00FD7C80"/>
    <w:rsid w:val="00FE71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82438"/>
  <w14:defaultImageDpi w14:val="300"/>
  <w15:docId w15:val="{FDAEF22B-C123-47D5-9AFA-0E5DC85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1358</Words>
  <Characters>7856</Characters>
  <Application>Microsoft Office Word</Application>
  <DocSecurity>0</DocSecurity>
  <Lines>253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Robinson</cp:lastModifiedBy>
  <cp:revision>4</cp:revision>
  <cp:lastPrinted>2026-03-12T18:44:00Z</cp:lastPrinted>
  <dcterms:created xsi:type="dcterms:W3CDTF">2026-04-22T20:07:00Z</dcterms:created>
  <dcterms:modified xsi:type="dcterms:W3CDTF">2026-04-22T20:11:00Z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9716c5bc-85d4-4243-a41b-3b637d7a6024</vt:lpwstr>
  </property>
</Properties>
</file>