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36"/>
          <w:szCs w:val="36"/>
          <w:rtl w:val="0"/>
        </w:rPr>
        <w:t xml:space="preserve">FIN 540 — Portfolio Management and Wealth Planning</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595959"/>
          <w:sz w:val="28"/>
          <w:szCs w:val="28"/>
          <w:rtl w:val="0"/>
        </w:rPr>
        <w:t xml:space="preserve">Case Study Week 2: Capital Market Expectations</w:t>
      </w:r>
      <w:r w:rsidDel="00000000" w:rsidR="00000000" w:rsidRPr="00000000">
        <w:rPr>
          <w:rtl w:val="0"/>
        </w:rPr>
      </w:r>
    </w:p>
    <w:p w:rsidR="00000000" w:rsidDel="00000000" w:rsidP="00000000" w:rsidRDefault="00000000" w:rsidRPr="00000000" w14:paraId="00000003">
      <w:pPr>
        <w:rPr/>
      </w:pPr>
      <w:r w:rsidDel="00000000" w:rsidR="00000000" w:rsidRPr="00000000">
        <w:rPr>
          <w:sz w:val="24"/>
          <w:szCs w:val="24"/>
          <w:rtl w:val="0"/>
        </w:rPr>
        <w:t xml:space="preserve">Week 2 Assignment Overview</w:t>
      </w:r>
      <w:r w:rsidDel="00000000" w:rsidR="00000000" w:rsidRPr="00000000">
        <w:rPr>
          <w:rtl w:val="0"/>
        </w:rPr>
      </w:r>
    </w:p>
    <w:p w:rsidR="00000000" w:rsidDel="00000000" w:rsidP="00000000" w:rsidRDefault="00000000" w:rsidRPr="00000000" w14:paraId="00000004">
      <w:pPr>
        <w:spacing w:after="120" w:lineRule="auto"/>
        <w:jc w:val="both"/>
        <w:rPr/>
      </w:pPr>
      <w:r w:rsidDel="00000000" w:rsidR="00000000" w:rsidRPr="00000000">
        <w:rPr>
          <w:sz w:val="24"/>
          <w:szCs w:val="24"/>
          <w:rtl w:val="0"/>
        </w:rPr>
        <w:t xml:space="preserve">This week you will develop your capital market expectations (CMEs) — the forward-looking return, volatility, and correlation assumptions that will serve as inputs to a recommended asset allocation for the Taylors in Week 3. These expectations are the ones you would use as a baseline for all clients given current market conditions; in later weeks you will tailor the allocation to the Taylors’ specific circumstances and IPS.</w:t>
      </w:r>
      <w:r w:rsidDel="00000000" w:rsidR="00000000" w:rsidRPr="00000000">
        <w:rPr>
          <w:rtl w:val="0"/>
        </w:rPr>
      </w:r>
    </w:p>
    <w:p w:rsidR="00000000" w:rsidDel="00000000" w:rsidP="00000000" w:rsidRDefault="00000000" w:rsidRPr="00000000" w14:paraId="00000005">
      <w:pPr>
        <w:rPr/>
      </w:pPr>
      <w:r w:rsidDel="00000000" w:rsidR="00000000" w:rsidRPr="00000000">
        <w:rPr>
          <w:sz w:val="24"/>
          <w:szCs w:val="24"/>
          <w:rtl w:val="0"/>
        </w:rPr>
        <w:t xml:space="preserve">General Guidance</w:t>
      </w:r>
      <w:r w:rsidDel="00000000" w:rsidR="00000000" w:rsidRPr="00000000">
        <w:rPr>
          <w:rtl w:val="0"/>
        </w:rPr>
      </w:r>
    </w:p>
    <w:p w:rsidR="00000000" w:rsidDel="00000000" w:rsidP="00000000" w:rsidRDefault="00000000" w:rsidRPr="00000000" w14:paraId="00000006">
      <w:pPr>
        <w:spacing w:after="80" w:lineRule="auto"/>
        <w:ind w:left="720" w:firstLine="0"/>
        <w:rPr/>
      </w:pPr>
      <w:r w:rsidDel="00000000" w:rsidR="00000000" w:rsidRPr="00000000">
        <w:rPr>
          <w:sz w:val="24"/>
          <w:szCs w:val="24"/>
          <w:rtl w:val="0"/>
        </w:rPr>
        <w:tab/>
        <w:t xml:space="preserve">•</w:t>
        <w:tab/>
        <w:t xml:space="preserve">The Week 2 readings provide a range of CME methodologies and institutional forecasts you may draw on: CFA Portfolio Management in Practice Vol. 1 Ch. 3 &amp; 4 (CME Parts 1 and 2), the J.P. Morgan 2026 Long-Term Capital Market Assumptions, the AQR 2026 Capital Market Assumptions for Major Asset Classes, and the Finke article on CAPE as a predictor of returns. You may adopt, adapt, or blend these sources — but be explicit about your approach.</w:t>
      </w:r>
      <w:r w:rsidDel="00000000" w:rsidR="00000000" w:rsidRPr="00000000">
        <w:rPr>
          <w:rtl w:val="0"/>
        </w:rPr>
      </w:r>
    </w:p>
    <w:p w:rsidR="00000000" w:rsidDel="00000000" w:rsidP="00000000" w:rsidRDefault="00000000" w:rsidRPr="00000000" w14:paraId="00000007">
      <w:pPr>
        <w:spacing w:after="80" w:lineRule="auto"/>
        <w:ind w:left="720" w:firstLine="0"/>
        <w:rPr/>
      </w:pPr>
      <w:r w:rsidDel="00000000" w:rsidR="00000000" w:rsidRPr="00000000">
        <w:rPr>
          <w:sz w:val="24"/>
          <w:szCs w:val="24"/>
          <w:rtl w:val="0"/>
        </w:rPr>
        <w:tab/>
        <w:t xml:space="preserve">•</w:t>
        <w:tab/>
        <w:t xml:space="preserve">Common methodologies from Ch. 3 &amp; 4 include historical extrapolation, the building-block (risk premium) approach, the Grinold–Kroner model for equities, and institutional-forecast adoption. You are not required to use a specific method, but you must explain and justify the approach you use.</w:t>
      </w:r>
      <w:r w:rsidDel="00000000" w:rsidR="00000000" w:rsidRPr="00000000">
        <w:rPr>
          <w:rtl w:val="0"/>
        </w:rPr>
      </w:r>
    </w:p>
    <w:p w:rsidR="00000000" w:rsidDel="00000000" w:rsidP="00000000" w:rsidRDefault="00000000" w:rsidRPr="00000000" w14:paraId="00000008">
      <w:pPr>
        <w:spacing w:after="80" w:lineRule="auto"/>
        <w:ind w:left="720" w:firstLine="0"/>
        <w:rPr/>
      </w:pPr>
      <w:r w:rsidDel="00000000" w:rsidR="00000000" w:rsidRPr="00000000">
        <w:rPr>
          <w:sz w:val="24"/>
          <w:szCs w:val="24"/>
          <w:rtl w:val="0"/>
        </w:rPr>
        <w:tab/>
        <w:t xml:space="preserve">•</w:t>
        <w:tab/>
        <w:t xml:space="preserve">State whether your returns are nominal or real, and whether annualized returns are geometric (compound annual growth rate) or arithmetic. Apply your convention consistently across Parts A and B so they are directly comparable.</w:t>
      </w:r>
      <w:r w:rsidDel="00000000" w:rsidR="00000000" w:rsidRPr="00000000">
        <w:rPr>
          <w:rtl w:val="0"/>
        </w:rPr>
      </w:r>
    </w:p>
    <w:p w:rsidR="00000000" w:rsidDel="00000000" w:rsidP="00000000" w:rsidRDefault="00000000" w:rsidRPr="00000000" w14:paraId="00000009">
      <w:pPr>
        <w:spacing w:after="80" w:lineRule="auto"/>
        <w:ind w:left="720" w:firstLine="0"/>
        <w:rPr/>
      </w:pPr>
      <w:r w:rsidDel="00000000" w:rsidR="00000000" w:rsidRPr="00000000">
        <w:rPr>
          <w:sz w:val="24"/>
          <w:szCs w:val="24"/>
          <w:rtl w:val="0"/>
        </w:rPr>
        <w:tab/>
        <w:t xml:space="preserve">•</w:t>
        <w:tab/>
        <w:t xml:space="preserve">The “relevant forecast period” for the Taylors in Part B should be tied to the time horizon you established in their IPS (Week 1). A multi-decade strategic CME is appropriate for a retirement-stage household with joint life-expectancy considerations.</w:t>
      </w:r>
      <w:r w:rsidDel="00000000" w:rsidR="00000000" w:rsidRPr="00000000">
        <w:rPr>
          <w:rtl w:val="0"/>
        </w:rPr>
      </w:r>
    </w:p>
    <w:p w:rsidR="00000000" w:rsidDel="00000000" w:rsidP="00000000" w:rsidRDefault="00000000" w:rsidRPr="00000000" w14:paraId="0000000A">
      <w:pPr>
        <w:spacing w:after="80" w:lineRule="auto"/>
        <w:ind w:left="720" w:firstLine="0"/>
        <w:rPr/>
      </w:pPr>
      <w:r w:rsidDel="00000000" w:rsidR="00000000" w:rsidRPr="00000000">
        <w:rPr>
          <w:sz w:val="24"/>
          <w:szCs w:val="24"/>
          <w:rtl w:val="0"/>
        </w:rPr>
        <w:tab/>
        <w:t xml:space="preserve">•</w:t>
        <w:tab/>
        <w:t xml:space="preserve">For correlations in Part C, you may use an index, a passive mutual fund, or an ETF proxy for each of the three broad classes.</w:t>
      </w:r>
      <w:r w:rsidDel="00000000" w:rsidR="00000000" w:rsidRPr="00000000">
        <w:rPr>
          <w:rtl w:val="0"/>
        </w:rPr>
      </w:r>
    </w:p>
    <w:p w:rsidR="00000000" w:rsidDel="00000000" w:rsidP="00000000" w:rsidRDefault="00000000" w:rsidRPr="00000000" w14:paraId="0000000B">
      <w:pPr>
        <w:spacing w:after="80" w:lineRule="auto"/>
        <w:ind w:left="720" w:firstLine="0"/>
        <w:rPr/>
      </w:pPr>
      <w:r w:rsidDel="00000000" w:rsidR="00000000" w:rsidRPr="00000000">
        <w:rPr>
          <w:sz w:val="24"/>
          <w:szCs w:val="24"/>
          <w:rtl w:val="0"/>
        </w:rPr>
        <w:tab/>
        <w:t xml:space="preserve">•</w:t>
        <w:tab/>
        <w:t xml:space="preserve">You may use this Word file to submit your answers. If you do, please rename the file to include your name.</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sz w:val="24"/>
          <w:szCs w:val="24"/>
          <w:rtl w:val="0"/>
        </w:rPr>
        <w:t xml:space="preserve">Part A — Historical Returns and Variability</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sz w:val="24"/>
          <w:szCs w:val="24"/>
          <w:rtl w:val="0"/>
        </w:rPr>
        <w:t xml:space="preserve">Collect historical return and volatility data for each of the asset classes below, as well as for inflation. Choose a data source that can be an index, a passive mutual fund, or an ETF based on an index, and use the longest period for which data is available. Report your data source, the specific index or ETF used, and the time frame covered.</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color w:val="1f3864"/>
          <w:sz w:val="20"/>
          <w:szCs w:val="20"/>
          <w:rtl w:val="0"/>
        </w:rPr>
        <w:t xml:space="preserve">Asset Class</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1f3864"/>
          <w:sz w:val="20"/>
          <w:szCs w:val="20"/>
          <w:rtl w:val="0"/>
        </w:rPr>
        <w:t xml:space="preserve">Source (index / ETF, time frame)</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color w:val="1f3864"/>
          <w:sz w:val="20"/>
          <w:szCs w:val="20"/>
          <w:rtl w:val="0"/>
        </w:rPr>
        <w:t xml:space="preserve">Historical Annualized Return</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1f3864"/>
          <w:sz w:val="20"/>
          <w:szCs w:val="20"/>
          <w:rtl w:val="0"/>
        </w:rPr>
        <w:t xml:space="preserve">Historical Standard Deviation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will use Historical Extrapolation, and choose a stable etf or fund for each one below as a reference point, including the source of each.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Short-Term U.S. Treasuries</w:t>
      </w:r>
    </w:p>
    <w:p w:rsidR="00000000" w:rsidDel="00000000" w:rsidP="00000000" w:rsidRDefault="00000000" w:rsidRPr="00000000" w14:paraId="00000017">
      <w:pPr>
        <w:rPr>
          <w:sz w:val="24"/>
          <w:szCs w:val="24"/>
        </w:rPr>
      </w:pPr>
      <w:r w:rsidDel="00000000" w:rsidR="00000000" w:rsidRPr="00000000">
        <w:rPr>
          <w:sz w:val="24"/>
          <w:szCs w:val="24"/>
          <w:rtl w:val="0"/>
        </w:rPr>
        <w:t xml:space="preserve"> For short term treasuries, I chose Ibbotson SBBI 30-day T bill Index, and from the past 100 years it has provided a historical annual return of 3.3%, with a historical std Deviation of 3.1%</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Source- </w:t>
      </w:r>
    </w:p>
    <w:p w:rsidR="00000000" w:rsidDel="00000000" w:rsidP="00000000" w:rsidRDefault="00000000" w:rsidRPr="00000000" w14:paraId="0000001A">
      <w:pPr>
        <w:rPr>
          <w:sz w:val="24"/>
          <w:szCs w:val="24"/>
        </w:rPr>
      </w:pPr>
      <w:r w:rsidDel="00000000" w:rsidR="00000000" w:rsidRPr="00000000">
        <w:rPr>
          <w:sz w:val="24"/>
          <w:szCs w:val="24"/>
          <w:rtl w:val="0"/>
        </w:rPr>
        <w:t xml:space="preserve">Morningstar, Inc. </w:t>
      </w:r>
      <w:r w:rsidDel="00000000" w:rsidR="00000000" w:rsidRPr="00000000">
        <w:rPr>
          <w:i w:val="1"/>
          <w:iCs w:val="1"/>
          <w:sz w:val="24"/>
          <w:szCs w:val="24"/>
          <w:rtl w:val="0"/>
        </w:rPr>
        <w:t xml:space="preserve">Ibbotson® SBBI® Stocks, Bonds, Bills, and Inflation Yearbook</w:t>
      </w:r>
      <w:r w:rsidDel="00000000" w:rsidR="00000000" w:rsidRPr="00000000">
        <w:rPr>
          <w:sz w:val="24"/>
          <w:szCs w:val="24"/>
          <w:rtl w:val="0"/>
        </w:rPr>
        <w:t xml:space="preserve">. Chicago: Morningstar, 2024.</w:t>
      </w:r>
    </w:p>
    <w:p w:rsidR="00000000" w:rsidDel="00000000" w:rsidP="00000000" w:rsidRDefault="00000000" w:rsidRPr="00000000" w14:paraId="0000001B">
      <w:pPr>
        <w:rPr>
          <w:sz w:val="24"/>
          <w:szCs w:val="24"/>
        </w:rPr>
      </w:pP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https://pages.stern.nyu.edu/~adamodar/New_Home_Page/datafile/histretSP.html</w:t>
        </w:r>
      </w:hyperlink>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 </w:t>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Intermediate-Term U.S. Treasuries</w:t>
      </w:r>
    </w:p>
    <w:p w:rsidR="00000000" w:rsidDel="00000000" w:rsidP="00000000" w:rsidRDefault="00000000" w:rsidRPr="00000000" w14:paraId="0000001E">
      <w:pPr>
        <w:rPr>
          <w:sz w:val="24"/>
          <w:szCs w:val="24"/>
        </w:rPr>
      </w:pPr>
      <w:r w:rsidDel="00000000" w:rsidR="00000000" w:rsidRPr="00000000">
        <w:rPr>
          <w:sz w:val="24"/>
          <w:szCs w:val="24"/>
          <w:rtl w:val="0"/>
        </w:rPr>
        <w:t xml:space="preserve"> For Intermediate, I chose the Ibbotson SBBI US Intermediate-Term Gov Bond Index (5 year), 1926-2024. It has Historically returned an average of 5.2% with Historical standard deviation of 5.7%</w:t>
      </w:r>
    </w:p>
    <w:p w:rsidR="00000000" w:rsidDel="00000000" w:rsidP="00000000" w:rsidRDefault="00000000" w:rsidRPr="00000000" w14:paraId="0000001F">
      <w:pPr>
        <w:rPr>
          <w:sz w:val="24"/>
          <w:szCs w:val="24"/>
        </w:rPr>
      </w:pPr>
      <w:r w:rsidDel="00000000" w:rsidR="00000000" w:rsidRPr="00000000">
        <w:rPr>
          <w:sz w:val="24"/>
          <w:szCs w:val="24"/>
          <w:rtl w:val="0"/>
        </w:rPr>
        <w:t xml:space="preserve"> </w:t>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Long-Term U.S. Treasuries</w:t>
      </w:r>
    </w:p>
    <w:p w:rsidR="00000000" w:rsidDel="00000000" w:rsidP="00000000" w:rsidRDefault="00000000" w:rsidRPr="00000000" w14:paraId="00000021">
      <w:pPr>
        <w:rPr>
          <w:sz w:val="24"/>
          <w:szCs w:val="24"/>
        </w:rPr>
      </w:pPr>
      <w:r w:rsidDel="00000000" w:rsidR="00000000" w:rsidRPr="00000000">
        <w:rPr>
          <w:sz w:val="24"/>
          <w:szCs w:val="24"/>
          <w:rtl w:val="0"/>
        </w:rPr>
        <w:t xml:space="preserve"> Ibbotson SBBI US long term Gov Bond Index, 20-year. 1926-2024, with an average historical return of 5.5% with standard dev of 9.9%</w:t>
      </w:r>
    </w:p>
    <w:p w:rsidR="00000000" w:rsidDel="00000000" w:rsidP="00000000" w:rsidRDefault="00000000" w:rsidRPr="00000000" w14:paraId="00000022">
      <w:pPr>
        <w:rPr>
          <w:sz w:val="24"/>
          <w:szCs w:val="24"/>
        </w:rPr>
      </w:pPr>
      <w:r w:rsidDel="00000000" w:rsidR="00000000" w:rsidRPr="00000000">
        <w:rPr>
          <w:sz w:val="24"/>
          <w:szCs w:val="24"/>
          <w:rtl w:val="0"/>
        </w:rPr>
        <w:t xml:space="preserve">(yikes)</w:t>
      </w:r>
    </w:p>
    <w:p w:rsidR="00000000" w:rsidDel="00000000" w:rsidP="00000000" w:rsidRDefault="00000000" w:rsidRPr="00000000" w14:paraId="00000023">
      <w:pPr>
        <w:rPr>
          <w:sz w:val="24"/>
          <w:szCs w:val="24"/>
        </w:rPr>
      </w:pPr>
      <w:r w:rsidDel="00000000" w:rsidR="00000000" w:rsidRPr="00000000">
        <w:rPr>
          <w:sz w:val="24"/>
          <w:szCs w:val="24"/>
          <w:rtl w:val="0"/>
        </w:rPr>
        <w:t xml:space="preserve"> </w:t>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U.S. Corporate Bonds (intermediate to long term)</w:t>
      </w:r>
    </w:p>
    <w:p w:rsidR="00000000" w:rsidDel="00000000" w:rsidP="00000000" w:rsidRDefault="00000000" w:rsidRPr="00000000" w14:paraId="00000025">
      <w:pPr>
        <w:rPr>
          <w:sz w:val="24"/>
          <w:szCs w:val="24"/>
        </w:rPr>
      </w:pPr>
      <w:r w:rsidDel="00000000" w:rsidR="00000000" w:rsidRPr="00000000">
        <w:rPr>
          <w:sz w:val="24"/>
          <w:szCs w:val="24"/>
          <w:rtl w:val="0"/>
        </w:rPr>
        <w:t xml:space="preserve"> Ibbotson SBBI US Long-Term Corporate Bond Index (Baa-rated, ~20-yr), 1926–2024</w:t>
      </w:r>
    </w:p>
    <w:p w:rsidR="00000000" w:rsidDel="00000000" w:rsidP="00000000" w:rsidRDefault="00000000" w:rsidRPr="00000000" w14:paraId="00000026">
      <w:pPr>
        <w:rPr>
          <w:sz w:val="24"/>
          <w:szCs w:val="24"/>
        </w:rPr>
      </w:pPr>
      <w:r w:rsidDel="00000000" w:rsidR="00000000" w:rsidRPr="00000000">
        <w:rPr>
          <w:sz w:val="24"/>
          <w:szCs w:val="24"/>
          <w:rtl w:val="0"/>
        </w:rPr>
        <w:t xml:space="preserve"> Avg return is 6% with standard dev of 8.5%</w:t>
      </w:r>
    </w:p>
    <w:p w:rsidR="00000000" w:rsidDel="00000000" w:rsidP="00000000" w:rsidRDefault="00000000" w:rsidRPr="00000000" w14:paraId="00000027">
      <w:pPr>
        <w:rPr>
          <w:sz w:val="24"/>
          <w:szCs w:val="24"/>
        </w:rPr>
      </w:pPr>
      <w:r w:rsidDel="00000000" w:rsidR="00000000" w:rsidRPr="00000000">
        <w:rPr>
          <w:sz w:val="24"/>
          <w:szCs w:val="24"/>
          <w:rtl w:val="0"/>
        </w:rPr>
        <w:t xml:space="preserve"> </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International Bonds</w:t>
      </w:r>
    </w:p>
    <w:p w:rsidR="00000000" w:rsidDel="00000000" w:rsidP="00000000" w:rsidRDefault="00000000" w:rsidRPr="00000000" w14:paraId="00000029">
      <w:pPr>
        <w:rPr>
          <w:sz w:val="24"/>
          <w:szCs w:val="24"/>
        </w:rPr>
      </w:pPr>
      <w:r w:rsidDel="00000000" w:rsidR="00000000" w:rsidRPr="00000000">
        <w:rPr>
          <w:sz w:val="24"/>
          <w:szCs w:val="24"/>
          <w:rtl w:val="0"/>
        </w:rPr>
        <w:t xml:space="preserve"> Bloomberg Global Aggregate ex-US Bond Index (USD unhedged), 1990–2024</w:t>
      </w:r>
    </w:p>
    <w:p w:rsidR="00000000" w:rsidDel="00000000" w:rsidP="00000000" w:rsidRDefault="00000000" w:rsidRPr="00000000" w14:paraId="0000002A">
      <w:pPr>
        <w:rPr>
          <w:sz w:val="24"/>
          <w:szCs w:val="24"/>
        </w:rPr>
      </w:pPr>
      <w:r w:rsidDel="00000000" w:rsidR="00000000" w:rsidRPr="00000000">
        <w:rPr>
          <w:sz w:val="24"/>
          <w:szCs w:val="24"/>
          <w:rtl w:val="0"/>
        </w:rPr>
        <w:t xml:space="preserve">  Avg return is around 3.8% and standard Dev is 8.5%</w:t>
      </w:r>
    </w:p>
    <w:p w:rsidR="00000000" w:rsidDel="00000000" w:rsidP="00000000" w:rsidRDefault="00000000" w:rsidRPr="00000000" w14:paraId="0000002B">
      <w:pPr>
        <w:rPr>
          <w:sz w:val="24"/>
          <w:szCs w:val="24"/>
        </w:rPr>
      </w:pPr>
      <w:r w:rsidDel="00000000" w:rsidR="00000000" w:rsidRPr="00000000">
        <w:rPr>
          <w:sz w:val="24"/>
          <w:szCs w:val="24"/>
          <w:rtl w:val="0"/>
        </w:rPr>
        <w:t xml:space="preserve"> </w:t>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Large-Cap U.S. Stocks</w:t>
      </w:r>
    </w:p>
    <w:p w:rsidR="00000000" w:rsidDel="00000000" w:rsidP="00000000" w:rsidRDefault="00000000" w:rsidRPr="00000000" w14:paraId="0000002D">
      <w:pPr>
        <w:rPr>
          <w:sz w:val="24"/>
          <w:szCs w:val="24"/>
        </w:rPr>
      </w:pPr>
      <w:r w:rsidDel="00000000" w:rsidR="00000000" w:rsidRPr="00000000">
        <w:rPr>
          <w:sz w:val="24"/>
          <w:szCs w:val="24"/>
          <w:rtl w:val="0"/>
        </w:rPr>
        <w:t xml:space="preserve"> S&amp;P 500 Total Return / Ibbotson SBBI US Large Stock Index, 1926–2024</w:t>
      </w:r>
    </w:p>
    <w:p w:rsidR="00000000" w:rsidDel="00000000" w:rsidP="00000000" w:rsidRDefault="00000000" w:rsidRPr="00000000" w14:paraId="0000002E">
      <w:pPr>
        <w:rPr>
          <w:sz w:val="24"/>
          <w:szCs w:val="24"/>
        </w:rPr>
      </w:pPr>
      <w:r w:rsidDel="00000000" w:rsidR="00000000" w:rsidRPr="00000000">
        <w:rPr>
          <w:sz w:val="24"/>
          <w:szCs w:val="24"/>
          <w:rtl w:val="0"/>
        </w:rPr>
        <w:t xml:space="preserve">  Avg return is 10.3% and standard dev of 20%</w:t>
      </w:r>
    </w:p>
    <w:p w:rsidR="00000000" w:rsidDel="00000000" w:rsidP="00000000" w:rsidRDefault="00000000" w:rsidRPr="00000000" w14:paraId="0000002F">
      <w:pPr>
        <w:rPr>
          <w:sz w:val="24"/>
          <w:szCs w:val="24"/>
        </w:rPr>
      </w:pPr>
      <w:r w:rsidDel="00000000" w:rsidR="00000000" w:rsidRPr="00000000">
        <w:rPr>
          <w:sz w:val="24"/>
          <w:szCs w:val="24"/>
          <w:rtl w:val="0"/>
        </w:rPr>
        <w:t xml:space="preserve"> </w:t>
      </w:r>
    </w:p>
    <w:p w:rsidR="00000000" w:rsidDel="00000000" w:rsidP="00000000" w:rsidRDefault="00000000" w:rsidRPr="00000000" w14:paraId="00000030">
      <w:pPr>
        <w:rPr>
          <w:b w:val="1"/>
          <w:bCs w:val="1"/>
          <w:sz w:val="24"/>
          <w:szCs w:val="24"/>
        </w:rPr>
      </w:pPr>
      <w:r w:rsidDel="00000000" w:rsidR="00000000" w:rsidRPr="00000000">
        <w:rPr>
          <w:b w:val="1"/>
          <w:bCs w:val="1"/>
          <w:sz w:val="24"/>
          <w:szCs w:val="24"/>
          <w:rtl w:val="0"/>
        </w:rPr>
        <w:t xml:space="preserve">Mid-Cap U.S. Stocks</w:t>
      </w:r>
    </w:p>
    <w:p w:rsidR="00000000" w:rsidDel="00000000" w:rsidP="00000000" w:rsidRDefault="00000000" w:rsidRPr="00000000" w14:paraId="00000031">
      <w:pPr>
        <w:rPr>
          <w:sz w:val="24"/>
          <w:szCs w:val="24"/>
        </w:rPr>
      </w:pPr>
      <w:r w:rsidDel="00000000" w:rsidR="00000000" w:rsidRPr="00000000">
        <w:rPr>
          <w:sz w:val="24"/>
          <w:szCs w:val="24"/>
          <w:rtl w:val="0"/>
        </w:rPr>
        <w:t xml:space="preserve"> S&amp;P MidCap 400 Total Return Index / SPDR MDY ETF, 1991–2024</w:t>
      </w:r>
    </w:p>
    <w:p w:rsidR="00000000" w:rsidDel="00000000" w:rsidP="00000000" w:rsidRDefault="00000000" w:rsidRPr="00000000" w14:paraId="00000032">
      <w:pPr>
        <w:rPr>
          <w:sz w:val="24"/>
          <w:szCs w:val="24"/>
        </w:rPr>
      </w:pPr>
      <w:r w:rsidDel="00000000" w:rsidR="00000000" w:rsidRPr="00000000">
        <w:rPr>
          <w:sz w:val="24"/>
          <w:szCs w:val="24"/>
          <w:rtl w:val="0"/>
        </w:rPr>
        <w:t xml:space="preserve">  Avg return is 10.7% with a standard dev of 17.9%</w:t>
      </w:r>
    </w:p>
    <w:p w:rsidR="00000000" w:rsidDel="00000000" w:rsidP="00000000" w:rsidRDefault="00000000" w:rsidRPr="00000000" w14:paraId="00000033">
      <w:pPr>
        <w:rPr>
          <w:sz w:val="24"/>
          <w:szCs w:val="24"/>
        </w:rPr>
      </w:pPr>
      <w:r w:rsidDel="00000000" w:rsidR="00000000" w:rsidRPr="00000000">
        <w:rPr>
          <w:sz w:val="24"/>
          <w:szCs w:val="24"/>
          <w:rtl w:val="0"/>
        </w:rPr>
        <w:t xml:space="preserve"> </w:t>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Small-Cap U.S. Stocks</w:t>
      </w:r>
    </w:p>
    <w:p w:rsidR="00000000" w:rsidDel="00000000" w:rsidP="00000000" w:rsidRDefault="00000000" w:rsidRPr="00000000" w14:paraId="00000035">
      <w:pPr>
        <w:rPr>
          <w:sz w:val="24"/>
          <w:szCs w:val="24"/>
        </w:rPr>
      </w:pPr>
      <w:r w:rsidDel="00000000" w:rsidR="00000000" w:rsidRPr="00000000">
        <w:rPr>
          <w:sz w:val="24"/>
          <w:szCs w:val="24"/>
          <w:rtl w:val="0"/>
        </w:rPr>
        <w:t xml:space="preserve"> Ibbotson SBBI US Small Stock Index, 1926–2024</w:t>
      </w:r>
    </w:p>
    <w:p w:rsidR="00000000" w:rsidDel="00000000" w:rsidP="00000000" w:rsidRDefault="00000000" w:rsidRPr="00000000" w14:paraId="00000036">
      <w:pPr>
        <w:rPr>
          <w:sz w:val="24"/>
          <w:szCs w:val="24"/>
        </w:rPr>
      </w:pPr>
      <w:r w:rsidDel="00000000" w:rsidR="00000000" w:rsidRPr="00000000">
        <w:rPr>
          <w:sz w:val="24"/>
          <w:szCs w:val="24"/>
          <w:rtl w:val="0"/>
        </w:rPr>
        <w:t xml:space="preserve">  Avg return is 12% with a standard dev of 31.6%</w:t>
      </w:r>
    </w:p>
    <w:p w:rsidR="00000000" w:rsidDel="00000000" w:rsidP="00000000" w:rsidRDefault="00000000" w:rsidRPr="00000000" w14:paraId="00000037">
      <w:pPr>
        <w:rPr>
          <w:sz w:val="24"/>
          <w:szCs w:val="24"/>
        </w:rPr>
      </w:pPr>
      <w:r w:rsidDel="00000000" w:rsidR="00000000" w:rsidRPr="00000000">
        <w:rPr>
          <w:sz w:val="24"/>
          <w:szCs w:val="24"/>
          <w:rtl w:val="0"/>
        </w:rPr>
        <w:t xml:space="preserve"> </w:t>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International Developed-Market Stocks</w:t>
      </w:r>
    </w:p>
    <w:p w:rsidR="00000000" w:rsidDel="00000000" w:rsidP="00000000" w:rsidRDefault="00000000" w:rsidRPr="00000000" w14:paraId="00000039">
      <w:pPr>
        <w:rPr>
          <w:sz w:val="24"/>
          <w:szCs w:val="24"/>
        </w:rPr>
      </w:pPr>
      <w:r w:rsidDel="00000000" w:rsidR="00000000" w:rsidRPr="00000000">
        <w:rPr>
          <w:sz w:val="24"/>
          <w:szCs w:val="24"/>
          <w:rtl w:val="0"/>
        </w:rPr>
        <w:t xml:space="preserve"> iShares EFA ETF, 1970–2024</w:t>
      </w:r>
    </w:p>
    <w:p w:rsidR="00000000" w:rsidDel="00000000" w:rsidP="00000000" w:rsidRDefault="00000000" w:rsidRPr="00000000" w14:paraId="0000003A">
      <w:pPr>
        <w:rPr>
          <w:sz w:val="24"/>
          <w:szCs w:val="24"/>
        </w:rPr>
      </w:pPr>
      <w:r w:rsidDel="00000000" w:rsidR="00000000" w:rsidRPr="00000000">
        <w:rPr>
          <w:sz w:val="24"/>
          <w:szCs w:val="24"/>
          <w:rtl w:val="0"/>
        </w:rPr>
        <w:t xml:space="preserve">  Avg return is 8.5% with a standard dev of 17%</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Emerging-Markets Stocks</w:t>
      </w:r>
    </w:p>
    <w:p w:rsidR="00000000" w:rsidDel="00000000" w:rsidP="00000000" w:rsidRDefault="00000000" w:rsidRPr="00000000" w14:paraId="0000003D">
      <w:pPr>
        <w:rPr>
          <w:sz w:val="24"/>
          <w:szCs w:val="24"/>
        </w:rPr>
      </w:pPr>
      <w:r w:rsidDel="00000000" w:rsidR="00000000" w:rsidRPr="00000000">
        <w:rPr>
          <w:sz w:val="24"/>
          <w:szCs w:val="24"/>
          <w:rtl w:val="0"/>
        </w:rPr>
        <w:t xml:space="preserve"> iShares EEM ETF, 1988–2024</w:t>
      </w:r>
    </w:p>
    <w:p w:rsidR="00000000" w:rsidDel="00000000" w:rsidP="00000000" w:rsidRDefault="00000000" w:rsidRPr="00000000" w14:paraId="0000003E">
      <w:pPr>
        <w:rPr>
          <w:sz w:val="24"/>
          <w:szCs w:val="24"/>
        </w:rPr>
      </w:pPr>
      <w:r w:rsidDel="00000000" w:rsidR="00000000" w:rsidRPr="00000000">
        <w:rPr>
          <w:sz w:val="24"/>
          <w:szCs w:val="24"/>
          <w:rtl w:val="0"/>
        </w:rPr>
        <w:t xml:space="preserve">  Avg return is 8.5% with a standard dev of 23%</w:t>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Alternatives — Real Estate</w:t>
      </w:r>
    </w:p>
    <w:p w:rsidR="00000000" w:rsidDel="00000000" w:rsidP="00000000" w:rsidRDefault="00000000" w:rsidRPr="00000000" w14:paraId="00000040">
      <w:pPr>
        <w:rPr>
          <w:sz w:val="24"/>
          <w:szCs w:val="24"/>
        </w:rPr>
      </w:pPr>
      <w:r w:rsidDel="00000000" w:rsidR="00000000" w:rsidRPr="00000000">
        <w:rPr>
          <w:sz w:val="24"/>
          <w:szCs w:val="24"/>
          <w:rtl w:val="0"/>
        </w:rPr>
        <w:t xml:space="preserve"> FTSE Nareit All Equity REITs Index, 1972–2024</w:t>
      </w:r>
    </w:p>
    <w:p w:rsidR="00000000" w:rsidDel="00000000" w:rsidP="00000000" w:rsidRDefault="00000000" w:rsidRPr="00000000" w14:paraId="00000041">
      <w:pPr>
        <w:rPr>
          <w:sz w:val="24"/>
          <w:szCs w:val="24"/>
        </w:rPr>
      </w:pPr>
      <w:r w:rsidDel="00000000" w:rsidR="00000000" w:rsidRPr="00000000">
        <w:rPr>
          <w:sz w:val="24"/>
          <w:szCs w:val="24"/>
          <w:rtl w:val="0"/>
        </w:rPr>
        <w:t xml:space="preserve">  Avg return is 11.4% with a standard dev of 15.5%</w:t>
      </w:r>
    </w:p>
    <w:p w:rsidR="00000000" w:rsidDel="00000000" w:rsidP="00000000" w:rsidRDefault="00000000" w:rsidRPr="00000000" w14:paraId="00000042">
      <w:pPr>
        <w:rPr>
          <w:sz w:val="24"/>
          <w:szCs w:val="24"/>
        </w:rPr>
      </w:pPr>
      <w:r w:rsidDel="00000000" w:rsidR="00000000" w:rsidRPr="00000000">
        <w:rPr>
          <w:sz w:val="24"/>
          <w:szCs w:val="24"/>
          <w:rtl w:val="0"/>
        </w:rPr>
        <w:t xml:space="preserve"> </w:t>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Alternatives — Commodities</w:t>
      </w:r>
    </w:p>
    <w:p w:rsidR="00000000" w:rsidDel="00000000" w:rsidP="00000000" w:rsidRDefault="00000000" w:rsidRPr="00000000" w14:paraId="00000044">
      <w:pPr>
        <w:rPr>
          <w:sz w:val="24"/>
          <w:szCs w:val="24"/>
        </w:rPr>
      </w:pPr>
      <w:r w:rsidDel="00000000" w:rsidR="00000000" w:rsidRPr="00000000">
        <w:rPr>
          <w:sz w:val="24"/>
          <w:szCs w:val="24"/>
          <w:rtl w:val="0"/>
        </w:rPr>
        <w:t xml:space="preserve">iShares GSG ETF, 1970–2024</w:t>
      </w:r>
    </w:p>
    <w:p w:rsidR="00000000" w:rsidDel="00000000" w:rsidP="00000000" w:rsidRDefault="00000000" w:rsidRPr="00000000" w14:paraId="00000045">
      <w:pPr>
        <w:rPr>
          <w:sz w:val="24"/>
          <w:szCs w:val="24"/>
        </w:rPr>
      </w:pPr>
      <w:r w:rsidDel="00000000" w:rsidR="00000000" w:rsidRPr="00000000">
        <w:rPr>
          <w:sz w:val="24"/>
          <w:szCs w:val="24"/>
          <w:rtl w:val="0"/>
        </w:rPr>
        <w:t xml:space="preserve">  Avg return is 5.8% with a standard dev of 20%</w:t>
      </w:r>
    </w:p>
    <w:p w:rsidR="00000000" w:rsidDel="00000000" w:rsidP="00000000" w:rsidRDefault="00000000" w:rsidRPr="00000000" w14:paraId="00000046">
      <w:pPr>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b w:val="1"/>
          <w:bCs w:val="1"/>
          <w:sz w:val="24"/>
          <w:szCs w:val="24"/>
        </w:rPr>
      </w:pPr>
      <w:r w:rsidDel="00000000" w:rsidR="00000000" w:rsidRPr="00000000">
        <w:rPr>
          <w:b w:val="1"/>
          <w:bCs w:val="1"/>
          <w:sz w:val="24"/>
          <w:szCs w:val="24"/>
          <w:rtl w:val="0"/>
        </w:rPr>
        <w:t xml:space="preserve">Inflation</w:t>
      </w:r>
    </w:p>
    <w:p w:rsidR="00000000" w:rsidDel="00000000" w:rsidP="00000000" w:rsidRDefault="00000000" w:rsidRPr="00000000" w14:paraId="00000048">
      <w:pPr>
        <w:rPr>
          <w:sz w:val="24"/>
          <w:szCs w:val="24"/>
        </w:rPr>
      </w:pPr>
      <w:r w:rsidDel="00000000" w:rsidR="00000000" w:rsidRPr="00000000">
        <w:rPr>
          <w:sz w:val="24"/>
          <w:szCs w:val="24"/>
          <w:rtl w:val="0"/>
        </w:rPr>
        <w:t xml:space="preserve"> U.S. CPI-U (Bureau of Labor Statistics), 1926–2024</w:t>
      </w:r>
    </w:p>
    <w:p w:rsidR="00000000" w:rsidDel="00000000" w:rsidP="00000000" w:rsidRDefault="00000000" w:rsidRPr="00000000" w14:paraId="00000049">
      <w:pPr>
        <w:rPr/>
      </w:pPr>
      <w:r w:rsidDel="00000000" w:rsidR="00000000" w:rsidRPr="00000000">
        <w:rPr>
          <w:rFonts w:ascii="Times" w:cs="Times" w:eastAsia="Times" w:hAnsi="Times"/>
          <w:sz w:val="20"/>
          <w:szCs w:val="20"/>
          <w:rtl w:val="0"/>
        </w:rPr>
        <w:t xml:space="preserve"> </w:t>
      </w:r>
      <w:r w:rsidDel="00000000" w:rsidR="00000000" w:rsidRPr="00000000">
        <w:rPr>
          <w:sz w:val="24"/>
          <w:szCs w:val="24"/>
          <w:rtl w:val="0"/>
        </w:rPr>
        <w:t xml:space="preserve"> Avg return is 3% with standard Dev of 4.2%</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w:cs="Times" w:eastAsia="Times" w:hAnsi="Times"/>
          <w:sz w:val="20"/>
          <w:szCs w:val="20"/>
          <w:rtl w:val="0"/>
        </w:rPr>
        <w:t xml:space="preserve"> </w:t>
      </w:r>
      <w:r w:rsidDel="00000000" w:rsidR="00000000" w:rsidRPr="00000000">
        <w:rPr>
          <w:rtl w:val="0"/>
        </w:rPr>
      </w:r>
    </w:p>
    <w:p w:rsidR="00000000" w:rsidDel="00000000" w:rsidP="00000000" w:rsidRDefault="00000000" w:rsidRPr="00000000" w14:paraId="0000004B">
      <w:pPr>
        <w:spacing w:after="40" w:before="120" w:lineRule="auto"/>
        <w:rPr/>
      </w:pPr>
      <w:r w:rsidDel="00000000" w:rsidR="00000000" w:rsidRPr="00000000">
        <w:rPr>
          <w:rFonts w:ascii="Times" w:cs="Times" w:eastAsia="Times" w:hAnsi="Times"/>
          <w:b w:val="1"/>
          <w:bCs w:val="1"/>
          <w:color w:val="333333"/>
          <w:sz w:val="24"/>
          <w:szCs w:val="24"/>
          <w:rtl w:val="0"/>
        </w:rPr>
        <w:t xml:space="preserve">Briefly explain why you chose these data sources and time frames, and justify why they provide a sound historical perspective on returns and variability for these asset classes.</w:t>
      </w:r>
      <w:r w:rsidDel="00000000" w:rsidR="00000000" w:rsidRPr="00000000">
        <w:rPr>
          <w:rtl w:val="0"/>
        </w:rPr>
      </w:r>
    </w:p>
    <w:p w:rsidR="00000000" w:rsidDel="00000000" w:rsidP="00000000" w:rsidRDefault="00000000" w:rsidRPr="00000000" w14:paraId="0000004C">
      <w:pPr>
        <w:spacing w:after="40" w:lineRule="auto"/>
        <w:rPr>
          <w:sz w:val="24"/>
          <w:szCs w:val="24"/>
        </w:rPr>
      </w:pPr>
      <w:r w:rsidDel="00000000" w:rsidR="00000000" w:rsidRPr="00000000">
        <w:rPr>
          <w:rtl w:val="0"/>
        </w:rPr>
        <w:tab/>
      </w:r>
      <w:r w:rsidDel="00000000" w:rsidR="00000000" w:rsidRPr="00000000">
        <w:rPr>
          <w:sz w:val="24"/>
          <w:szCs w:val="24"/>
          <w:rtl w:val="0"/>
        </w:rPr>
        <w:t xml:space="preserve">I chose the Ibbotson SBBI indexes for some of the reference points above, and the reason behind that is the SBBI Yearbook contains total returns and index values dating back to 1926 for large and small company stocks, long-term corporate bonds, long- and intermediate-term government bonds, Treasury bills, and inflation. Also, I have seen some professors at UNCW, in my undergrad, use the SBBI/Morningstar before when they wanted some data. It has been around for a long time- and fully encompasses multiple economic cycles, from wars and the Great Depression, to 2008 and Covid19, giving it a solid foundation to estimate long run returns and risk. </w:t>
      </w:r>
    </w:p>
    <w:p w:rsidR="00000000" w:rsidDel="00000000" w:rsidP="00000000" w:rsidRDefault="00000000" w:rsidRPr="00000000" w14:paraId="0000004D">
      <w:pPr>
        <w:spacing w:after="40" w:lineRule="auto"/>
        <w:rPr>
          <w:sz w:val="24"/>
          <w:szCs w:val="24"/>
        </w:rPr>
      </w:pPr>
      <w:r w:rsidDel="00000000" w:rsidR="00000000" w:rsidRPr="00000000">
        <w:rPr>
          <w:sz w:val="24"/>
          <w:szCs w:val="24"/>
          <w:rtl w:val="0"/>
        </w:rPr>
        <w:tab/>
        <w:t xml:space="preserve">I used the Bureau of Labor Statistics Consumer Price Index for All Urban Consumers (CPI-U) for the Inflation data, which goes back to 1913, which provides the data with bigger historical data, rather than data from only 20 years ago. I used data from the Federal Reserve database in St. Louis (FRED), For Treasury bond and bill returns. The return on stocks includes both price appreciation and dividends. For the international funds, I used the MSCI funds, since for the The MSCI EAFE (Europe, Australasia, Far East) Index is the canonical benchmark for developed-market equities outside North America, with a history stretching back to 1970, providing over 50 years of data. For the MSCI Emerging Markets Index, it was one of the first ones of its kind- launching back in 1988, giving nearly 37 years of data. </w:t>
      </w:r>
    </w:p>
    <w:p w:rsidR="00000000" w:rsidDel="00000000" w:rsidP="00000000" w:rsidRDefault="00000000" w:rsidRPr="00000000" w14:paraId="0000004E">
      <w:pPr>
        <w:spacing w:after="40" w:lineRule="auto"/>
        <w:rPr>
          <w:sz w:val="24"/>
          <w:szCs w:val="24"/>
        </w:rPr>
      </w:pPr>
      <w:r w:rsidDel="00000000" w:rsidR="00000000" w:rsidRPr="00000000">
        <w:rPr>
          <w:sz w:val="24"/>
          <w:szCs w:val="24"/>
          <w:rtl w:val="0"/>
        </w:rPr>
        <w:tab/>
        <w:t xml:space="preserve">For the real estate funds, I used the FTSE Nareit All Equity REITs Index, from 1972-2024. The FTSE Nareit U.S. Real Estate Index Series tracks the performance of the U.S. REIT industry at both an industry-wide level and on a sector-by-sector basis, with annual return data beginning in 1972. 1972 is the earliest point at which a broad, investable REIT market existed following the REIT Act of 1960. This one also encompasses the booms and busts of 2007-2009. For the Commodities, I used the S&amp;P GSCI Total Return Index. The fund is highly liquid and diversified widely used benchmark for investment in the commodity markets, covering 24 commodities from sectors such as energy, agriculture, metals, and livestock, designed to be investable and weighted by world production. The index has backfilled history to 1970, providing over 50 years of data.</w:t>
      </w:r>
    </w:p>
    <w:p w:rsidR="00000000" w:rsidDel="00000000" w:rsidP="00000000" w:rsidRDefault="00000000" w:rsidRPr="00000000" w14:paraId="0000004F">
      <w:pPr>
        <w:spacing w:after="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0">
      <w:pPr>
        <w:spacing w:after="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1">
      <w:pPr>
        <w:spacing w:after="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2">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53">
      <w:pPr>
        <w:rPr/>
      </w:pPr>
      <w:r w:rsidDel="00000000" w:rsidR="00000000" w:rsidRPr="00000000">
        <w:rPr>
          <w:rFonts w:ascii="Times" w:cs="Times" w:eastAsia="Times" w:hAnsi="Times"/>
          <w:sz w:val="24"/>
          <w:szCs w:val="24"/>
          <w:rtl w:val="0"/>
        </w:rPr>
        <w:t xml:space="preserve">Part B — Projected (Forward-Looking) CMEs</w:t>
      </w:r>
      <w:r w:rsidDel="00000000" w:rsidR="00000000" w:rsidRPr="00000000">
        <w:rPr>
          <w:rtl w:val="0"/>
        </w:rPr>
      </w:r>
    </w:p>
    <w:p w:rsidR="00000000" w:rsidDel="00000000" w:rsidP="00000000" w:rsidRDefault="00000000" w:rsidRPr="00000000" w14:paraId="00000054">
      <w:pPr>
        <w:spacing w:after="120" w:lineRule="auto"/>
        <w:jc w:val="both"/>
        <w:rPr/>
      </w:pPr>
      <w:r w:rsidDel="00000000" w:rsidR="00000000" w:rsidRPr="00000000">
        <w:rPr>
          <w:rFonts w:ascii="Times" w:cs="Times" w:eastAsia="Times" w:hAnsi="Times"/>
          <w:sz w:val="24"/>
          <w:szCs w:val="24"/>
          <w:rtl w:val="0"/>
        </w:rPr>
        <w:t xml:space="preserve">Develop a long-term CME for each asset class over the Taylors’ relevant forecast horizon. Your forecasts should reflect current market conditions and your chosen methodology (historical extrapolation, building-block / risk premium, Grinold–Kroner, adapted institutional forecasts, or a combination).</w:t>
      </w:r>
      <w:r w:rsidDel="00000000" w:rsidR="00000000" w:rsidRPr="00000000">
        <w:rPr>
          <w:rtl w:val="0"/>
        </w:rPr>
      </w:r>
    </w:p>
    <w:p w:rsidR="00000000" w:rsidDel="00000000" w:rsidP="00000000" w:rsidRDefault="00000000" w:rsidRPr="00000000" w14:paraId="00000055">
      <w:pPr>
        <w:rPr/>
      </w:pPr>
      <w:r w:rsidDel="00000000" w:rsidR="00000000" w:rsidRPr="00000000">
        <w:rPr>
          <w:rFonts w:ascii="Times" w:cs="Times" w:eastAsia="Times" w:hAnsi="Times"/>
          <w:b w:val="1"/>
          <w:bCs w:val="1"/>
          <w:color w:val="1f3864"/>
          <w:sz w:val="20"/>
          <w:szCs w:val="20"/>
          <w:rtl w:val="0"/>
        </w:rPr>
        <w:t xml:space="preserve">Asset Class</w:t>
      </w:r>
      <w:r w:rsidDel="00000000" w:rsidR="00000000" w:rsidRPr="00000000">
        <w:rPr>
          <w:rtl w:val="0"/>
        </w:rPr>
      </w:r>
    </w:p>
    <w:p w:rsidR="00000000" w:rsidDel="00000000" w:rsidP="00000000" w:rsidRDefault="00000000" w:rsidRPr="00000000" w14:paraId="00000056">
      <w:pPr>
        <w:rPr/>
      </w:pPr>
      <w:r w:rsidDel="00000000" w:rsidR="00000000" w:rsidRPr="00000000">
        <w:rPr>
          <w:rFonts w:ascii="Times" w:cs="Times" w:eastAsia="Times" w:hAnsi="Times"/>
          <w:b w:val="1"/>
          <w:bCs w:val="1"/>
          <w:color w:val="1f3864"/>
          <w:sz w:val="20"/>
          <w:szCs w:val="20"/>
          <w:rtl w:val="0"/>
        </w:rPr>
        <w:t xml:space="preserve">Projected Annualized Return</w:t>
      </w:r>
      <w:r w:rsidDel="00000000" w:rsidR="00000000" w:rsidRPr="00000000">
        <w:rPr>
          <w:rtl w:val="0"/>
        </w:rPr>
      </w:r>
    </w:p>
    <w:p w:rsidR="00000000" w:rsidDel="00000000" w:rsidP="00000000" w:rsidRDefault="00000000" w:rsidRPr="00000000" w14:paraId="00000057">
      <w:pPr>
        <w:rPr/>
      </w:pPr>
      <w:r w:rsidDel="00000000" w:rsidR="00000000" w:rsidRPr="00000000">
        <w:rPr>
          <w:rFonts w:ascii="Times" w:cs="Times" w:eastAsia="Times" w:hAnsi="Times"/>
          <w:b w:val="1"/>
          <w:bCs w:val="1"/>
          <w:color w:val="1f3864"/>
          <w:sz w:val="20"/>
          <w:szCs w:val="20"/>
          <w:rtl w:val="0"/>
        </w:rPr>
        <w:t xml:space="preserve">Projected Standard Deviation</w:t>
      </w: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Short-Term U.S. Treasuries</w:t>
      </w:r>
    </w:p>
    <w:p w:rsidR="00000000" w:rsidDel="00000000" w:rsidP="00000000" w:rsidRDefault="00000000" w:rsidRPr="00000000" w14:paraId="00000059">
      <w:pPr>
        <w:rPr/>
      </w:pPr>
      <w:r w:rsidDel="00000000" w:rsidR="00000000" w:rsidRPr="00000000">
        <w:rPr>
          <w:rtl w:val="0"/>
        </w:rPr>
        <w:t xml:space="preserve"> </w:t>
      </w:r>
      <w:r w:rsidDel="00000000" w:rsidR="00000000" w:rsidRPr="00000000">
        <w:rPr>
          <w:b w:val="1"/>
          <w:bCs w:val="1"/>
          <w:color w:val="1f3864"/>
          <w:rtl w:val="0"/>
        </w:rPr>
        <w:t xml:space="preserve">Projected Annualized Return - 3.5%</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color w:val="1f3864"/>
          <w:rtl w:val="0"/>
        </w:rPr>
        <w:t xml:space="preserve">Projected Standard Deviation - 1.5%</w:t>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 </w:t>
      </w:r>
    </w:p>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Intermediate-Term U.S. Treasuries</w:t>
      </w:r>
    </w:p>
    <w:p w:rsidR="00000000" w:rsidDel="00000000" w:rsidP="00000000" w:rsidRDefault="00000000" w:rsidRPr="00000000" w14:paraId="0000005D">
      <w:pPr>
        <w:rPr/>
      </w:pPr>
      <w:r w:rsidDel="00000000" w:rsidR="00000000" w:rsidRPr="00000000">
        <w:rPr>
          <w:rtl w:val="0"/>
        </w:rPr>
        <w:t xml:space="preserve"> </w:t>
      </w:r>
      <w:r w:rsidDel="00000000" w:rsidR="00000000" w:rsidRPr="00000000">
        <w:rPr>
          <w:b w:val="1"/>
          <w:bCs w:val="1"/>
          <w:color w:val="1f3864"/>
          <w:rtl w:val="0"/>
        </w:rPr>
        <w:t xml:space="preserve">Projected Annualized Return - 4.2%</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color w:val="1f3864"/>
          <w:rtl w:val="0"/>
        </w:rPr>
        <w:t xml:space="preserve">Projected Standard Deviation- 5.5%</w:t>
      </w: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sz w:val="24"/>
          <w:szCs w:val="24"/>
          <w:rtl w:val="0"/>
        </w:rPr>
        <w:t xml:space="preserve"> </w:t>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Long-Term U.S. Treasuries</w:t>
      </w:r>
    </w:p>
    <w:p w:rsidR="00000000" w:rsidDel="00000000" w:rsidP="00000000" w:rsidRDefault="00000000" w:rsidRPr="00000000" w14:paraId="00000061">
      <w:pPr>
        <w:rPr/>
      </w:pPr>
      <w:r w:rsidDel="00000000" w:rsidR="00000000" w:rsidRPr="00000000">
        <w:rPr>
          <w:rtl w:val="0"/>
        </w:rPr>
        <w:t xml:space="preserve"> </w:t>
      </w:r>
      <w:r w:rsidDel="00000000" w:rsidR="00000000" w:rsidRPr="00000000">
        <w:rPr>
          <w:b w:val="1"/>
          <w:bCs w:val="1"/>
          <w:color w:val="1f3864"/>
          <w:rtl w:val="0"/>
        </w:rPr>
        <w:t xml:space="preserve">Projected Annualized Return- 5%</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color w:val="1f3864"/>
          <w:rtl w:val="0"/>
        </w:rPr>
        <w:t xml:space="preserve">Projected Standard Deviation - 10.5%</w:t>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 </w:t>
      </w:r>
    </w:p>
    <w:p w:rsidR="00000000" w:rsidDel="00000000" w:rsidP="00000000" w:rsidRDefault="00000000" w:rsidRPr="00000000" w14:paraId="00000064">
      <w:pPr>
        <w:rPr>
          <w:b w:val="1"/>
          <w:bCs w:val="1"/>
          <w:sz w:val="24"/>
          <w:szCs w:val="24"/>
        </w:rPr>
      </w:pPr>
      <w:r w:rsidDel="00000000" w:rsidR="00000000" w:rsidRPr="00000000">
        <w:rPr>
          <w:b w:val="1"/>
          <w:bCs w:val="1"/>
          <w:sz w:val="24"/>
          <w:szCs w:val="24"/>
          <w:rtl w:val="0"/>
        </w:rPr>
        <w:t xml:space="preserve">U.S. Corporate Bonds (intermediate to long term)</w:t>
      </w:r>
    </w:p>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b w:val="1"/>
          <w:bCs w:val="1"/>
          <w:color w:val="1f3864"/>
          <w:rtl w:val="0"/>
        </w:rPr>
        <w:t xml:space="preserve">Projected Annualized Return- 5.2%</w:t>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color w:val="1f3864"/>
          <w:rtl w:val="0"/>
        </w:rPr>
        <w:t xml:space="preserve">Projected Standard Deviation 7.5%</w:t>
      </w: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 </w:t>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International Bonds</w:t>
      </w:r>
    </w:p>
    <w:p w:rsidR="00000000" w:rsidDel="00000000" w:rsidP="00000000" w:rsidRDefault="00000000" w:rsidRPr="00000000" w14:paraId="00000069">
      <w:pPr>
        <w:rPr/>
      </w:pPr>
      <w:r w:rsidDel="00000000" w:rsidR="00000000" w:rsidRPr="00000000">
        <w:rPr>
          <w:rtl w:val="0"/>
        </w:rPr>
        <w:t xml:space="preserve"> </w:t>
      </w:r>
      <w:r w:rsidDel="00000000" w:rsidR="00000000" w:rsidRPr="00000000">
        <w:rPr>
          <w:b w:val="1"/>
          <w:bCs w:val="1"/>
          <w:color w:val="1f3864"/>
          <w:rtl w:val="0"/>
        </w:rPr>
        <w:t xml:space="preserve">Projected Annualized Return- 4.5%</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1f3864"/>
          <w:rtl w:val="0"/>
        </w:rPr>
        <w:t xml:space="preserve">Projected Standard Deviation- 7%</w:t>
      </w: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 </w:t>
      </w:r>
    </w:p>
    <w:p w:rsidR="00000000" w:rsidDel="00000000" w:rsidP="00000000" w:rsidRDefault="00000000" w:rsidRPr="00000000" w14:paraId="0000006C">
      <w:pPr>
        <w:rPr>
          <w:b w:val="1"/>
          <w:bCs w:val="1"/>
          <w:sz w:val="24"/>
          <w:szCs w:val="24"/>
        </w:rPr>
      </w:pPr>
      <w:r w:rsidDel="00000000" w:rsidR="00000000" w:rsidRPr="00000000">
        <w:rPr>
          <w:b w:val="1"/>
          <w:bCs w:val="1"/>
          <w:sz w:val="24"/>
          <w:szCs w:val="24"/>
          <w:rtl w:val="0"/>
        </w:rPr>
        <w:t xml:space="preserve">Large-Cap U.S. Stocks</w:t>
      </w:r>
    </w:p>
    <w:p w:rsidR="00000000" w:rsidDel="00000000" w:rsidP="00000000" w:rsidRDefault="00000000" w:rsidRPr="00000000" w14:paraId="0000006D">
      <w:pPr>
        <w:rPr/>
      </w:pPr>
      <w:r w:rsidDel="00000000" w:rsidR="00000000" w:rsidRPr="00000000">
        <w:rPr>
          <w:rtl w:val="0"/>
        </w:rPr>
        <w:t xml:space="preserve"> </w:t>
      </w:r>
      <w:r w:rsidDel="00000000" w:rsidR="00000000" w:rsidRPr="00000000">
        <w:rPr>
          <w:b w:val="1"/>
          <w:bCs w:val="1"/>
          <w:color w:val="1f3864"/>
          <w:rtl w:val="0"/>
        </w:rPr>
        <w:t xml:space="preserve">Projected Annualized Return- 6.5%</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color w:val="1f3864"/>
          <w:rtl w:val="0"/>
        </w:rPr>
        <w:t xml:space="preserve">Projected Standard Deviation- 17%</w:t>
      </w: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 </w:t>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Mid-Cap U.S. Stocks</w:t>
      </w:r>
    </w:p>
    <w:p w:rsidR="00000000" w:rsidDel="00000000" w:rsidP="00000000" w:rsidRDefault="00000000" w:rsidRPr="00000000" w14:paraId="00000071">
      <w:pPr>
        <w:rPr/>
      </w:pPr>
      <w:r w:rsidDel="00000000" w:rsidR="00000000" w:rsidRPr="00000000">
        <w:rPr>
          <w:rtl w:val="0"/>
        </w:rPr>
        <w:t xml:space="preserve"> </w:t>
      </w:r>
      <w:r w:rsidDel="00000000" w:rsidR="00000000" w:rsidRPr="00000000">
        <w:rPr>
          <w:b w:val="1"/>
          <w:bCs w:val="1"/>
          <w:color w:val="1f3864"/>
          <w:rtl w:val="0"/>
        </w:rPr>
        <w:t xml:space="preserve">Projected Annualized Return- 7.5%</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color w:val="1f3864"/>
          <w:rtl w:val="0"/>
        </w:rPr>
        <w:t xml:space="preserve">Projected Standard Deviation - 19%</w:t>
      </w: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 </w:t>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Small-Cap U.S. Stocks</w:t>
      </w:r>
    </w:p>
    <w:p w:rsidR="00000000" w:rsidDel="00000000" w:rsidP="00000000" w:rsidRDefault="00000000" w:rsidRPr="00000000" w14:paraId="00000075">
      <w:pPr>
        <w:rPr/>
      </w:pPr>
      <w:r w:rsidDel="00000000" w:rsidR="00000000" w:rsidRPr="00000000">
        <w:rPr>
          <w:rtl w:val="0"/>
        </w:rPr>
        <w:t xml:space="preserve"> </w:t>
      </w:r>
      <w:r w:rsidDel="00000000" w:rsidR="00000000" w:rsidRPr="00000000">
        <w:rPr>
          <w:b w:val="1"/>
          <w:bCs w:val="1"/>
          <w:color w:val="1f3864"/>
          <w:rtl w:val="0"/>
        </w:rPr>
        <w:t xml:space="preserve">Projected Annualized Return- 8%</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color w:val="1f3864"/>
          <w:rtl w:val="0"/>
        </w:rPr>
        <w:t xml:space="preserve">Projected Standard Deviation- 23%</w:t>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 </w:t>
      </w:r>
    </w:p>
    <w:p w:rsidR="00000000" w:rsidDel="00000000" w:rsidP="00000000" w:rsidRDefault="00000000" w:rsidRPr="00000000" w14:paraId="00000078">
      <w:pPr>
        <w:rPr>
          <w:b w:val="1"/>
          <w:bCs w:val="1"/>
          <w:sz w:val="24"/>
          <w:szCs w:val="24"/>
        </w:rPr>
      </w:pPr>
      <w:r w:rsidDel="00000000" w:rsidR="00000000" w:rsidRPr="00000000">
        <w:rPr>
          <w:b w:val="1"/>
          <w:bCs w:val="1"/>
          <w:sz w:val="24"/>
          <w:szCs w:val="24"/>
          <w:rtl w:val="0"/>
        </w:rPr>
        <w:t xml:space="preserve">International Developed-Market Stocks</w:t>
      </w:r>
    </w:p>
    <w:p w:rsidR="00000000" w:rsidDel="00000000" w:rsidP="00000000" w:rsidRDefault="00000000" w:rsidRPr="00000000" w14:paraId="00000079">
      <w:pPr>
        <w:rPr/>
      </w:pPr>
      <w:r w:rsidDel="00000000" w:rsidR="00000000" w:rsidRPr="00000000">
        <w:rPr>
          <w:rtl w:val="0"/>
        </w:rPr>
        <w:t xml:space="preserve"> </w:t>
      </w:r>
      <w:r w:rsidDel="00000000" w:rsidR="00000000" w:rsidRPr="00000000">
        <w:rPr>
          <w:b w:val="1"/>
          <w:bCs w:val="1"/>
          <w:color w:val="1f3864"/>
          <w:rtl w:val="0"/>
        </w:rPr>
        <w:t xml:space="preserve">Projected Annualized Return- 7.5%</w:t>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color w:val="1f3864"/>
          <w:rtl w:val="0"/>
        </w:rPr>
        <w:t xml:space="preserve">Projected Standard Deviation- 18%</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Emerging-Markets Stocks</w:t>
      </w:r>
    </w:p>
    <w:p w:rsidR="00000000" w:rsidDel="00000000" w:rsidP="00000000" w:rsidRDefault="00000000" w:rsidRPr="00000000" w14:paraId="0000007D">
      <w:pPr>
        <w:rPr/>
      </w:pPr>
      <w:r w:rsidDel="00000000" w:rsidR="00000000" w:rsidRPr="00000000">
        <w:rPr>
          <w:rtl w:val="0"/>
        </w:rPr>
        <w:t xml:space="preserve"> </w:t>
      </w:r>
      <w:r w:rsidDel="00000000" w:rsidR="00000000" w:rsidRPr="00000000">
        <w:rPr>
          <w:b w:val="1"/>
          <w:bCs w:val="1"/>
          <w:color w:val="1f3864"/>
          <w:rtl w:val="0"/>
        </w:rPr>
        <w:t xml:space="preserve">Projected Annualized Return- 8.5%%</w:t>
      </w: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b w:val="1"/>
          <w:bCs w:val="1"/>
          <w:color w:val="1f3864"/>
          <w:rtl w:val="0"/>
        </w:rPr>
        <w:t xml:space="preserve">Projected Standard Deviation- 24%</w:t>
      </w: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Alternatives — Real Estate</w:t>
      </w:r>
    </w:p>
    <w:p w:rsidR="00000000" w:rsidDel="00000000" w:rsidP="00000000" w:rsidRDefault="00000000" w:rsidRPr="00000000" w14:paraId="00000080">
      <w:pPr>
        <w:rPr/>
      </w:pPr>
      <w:r w:rsidDel="00000000" w:rsidR="00000000" w:rsidRPr="00000000">
        <w:rPr>
          <w:rtl w:val="0"/>
        </w:rPr>
        <w:t xml:space="preserve"> </w:t>
      </w:r>
      <w:r w:rsidDel="00000000" w:rsidR="00000000" w:rsidRPr="00000000">
        <w:rPr>
          <w:b w:val="1"/>
          <w:bCs w:val="1"/>
          <w:color w:val="1f3864"/>
          <w:rtl w:val="0"/>
        </w:rPr>
        <w:t xml:space="preserve">Projected Annualized Return- 6.5%</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color w:val="1f3864"/>
          <w:rtl w:val="0"/>
        </w:rPr>
        <w:t xml:space="preserve">Projected Standard Deviation- 16%</w:t>
      </w: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 </w:t>
      </w:r>
    </w:p>
    <w:p w:rsidR="00000000" w:rsidDel="00000000" w:rsidP="00000000" w:rsidRDefault="00000000" w:rsidRPr="00000000" w14:paraId="00000083">
      <w:pPr>
        <w:rPr>
          <w:b w:val="1"/>
          <w:bCs w:val="1"/>
          <w:sz w:val="24"/>
          <w:szCs w:val="24"/>
        </w:rPr>
      </w:pPr>
      <w:r w:rsidDel="00000000" w:rsidR="00000000" w:rsidRPr="00000000">
        <w:rPr>
          <w:b w:val="1"/>
          <w:bCs w:val="1"/>
          <w:sz w:val="24"/>
          <w:szCs w:val="24"/>
          <w:rtl w:val="0"/>
        </w:rPr>
        <w:t xml:space="preserve">Alternatives — Commodities</w:t>
      </w:r>
    </w:p>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b w:val="1"/>
          <w:bCs w:val="1"/>
          <w:color w:val="1f3864"/>
          <w:rtl w:val="0"/>
        </w:rPr>
        <w:t xml:space="preserve">Projected Annualized Return- 5%</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color w:val="1f3864"/>
          <w:rtl w:val="0"/>
        </w:rPr>
        <w:t xml:space="preserve">Projected Standard Deviation- 18%</w:t>
      </w:r>
      <w:r w:rsidDel="00000000" w:rsidR="00000000" w:rsidRPr="00000000">
        <w:rPr>
          <w:rtl w:val="0"/>
        </w:rPr>
      </w:r>
    </w:p>
    <w:p w:rsidR="00000000" w:rsidDel="00000000" w:rsidP="00000000" w:rsidRDefault="00000000" w:rsidRPr="00000000" w14:paraId="00000086">
      <w:pPr>
        <w:rPr/>
      </w:pPr>
      <w:r w:rsidDel="00000000" w:rsidR="00000000" w:rsidRPr="00000000">
        <w:rPr>
          <w:rFonts w:ascii="Times" w:cs="Times" w:eastAsia="Times" w:hAnsi="Times"/>
          <w:sz w:val="20"/>
          <w:szCs w:val="20"/>
          <w:rtl w:val="0"/>
        </w:rPr>
        <w:t xml:space="preserve"> </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tl w:val="0"/>
        </w:rPr>
      </w:r>
    </w:p>
    <w:p w:rsidR="00000000" w:rsidDel="00000000" w:rsidP="00000000" w:rsidRDefault="00000000" w:rsidRPr="00000000" w14:paraId="00000088">
      <w:pPr>
        <w:spacing w:after="40" w:before="120" w:lineRule="auto"/>
        <w:rPr/>
      </w:pPr>
      <w:r w:rsidDel="00000000" w:rsidR="00000000" w:rsidRPr="00000000">
        <w:rPr>
          <w:rFonts w:ascii="Times" w:cs="Times" w:eastAsia="Times" w:hAnsi="Times"/>
          <w:b w:val="1"/>
          <w:bCs w:val="1"/>
          <w:color w:val="333333"/>
          <w:sz w:val="24"/>
          <w:szCs w:val="24"/>
          <w:rtl w:val="0"/>
        </w:rPr>
        <w:t xml:space="preserve">For each asset class or sub-asset class (or for groups where the methodology is the same), describe the process you used to develop your expectations. Explain why your projected values are similar to or different from the historical data in Part A.</w:t>
      </w:r>
      <w:r w:rsidDel="00000000" w:rsidR="00000000" w:rsidRPr="00000000">
        <w:rPr>
          <w:rtl w:val="0"/>
        </w:rPr>
      </w:r>
    </w:p>
    <w:p w:rsidR="00000000" w:rsidDel="00000000" w:rsidP="00000000" w:rsidRDefault="00000000" w:rsidRPr="00000000" w14:paraId="00000089">
      <w:pPr>
        <w:spacing w:after="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To make estimates for the future, I used historical prices, current market yields, valuation-based expectations, and some capital market forecasts. For the short term Treasuries, I projected a return of 3.5%, slightly above the long-run historical average of 3.3%. This reflects the current higher interest-rate environment compared to the ultra-low-rate period following the Global Financial Crisis. I predict the intermediate Treasuries to return approximately 4.2%, somewhat below the historical average of 5.2%, because long-term inflation expectations and future rate cuts may reduce future bond returns relative to earlier decades when yields were higher. However, today’s starting yields remain attractive compared to the 2010–2021 period. Long-term Treasury bonds are projected at a 5.0% return with a 10.5% standard deviation. Long bonds currently offer relatively high yields, but they remain highly sensitive to inflation- that we are experiencing now. </w:t>
      </w:r>
    </w:p>
    <w:p w:rsidR="00000000" w:rsidDel="00000000" w:rsidP="00000000" w:rsidRDefault="00000000" w:rsidRPr="00000000" w14:paraId="0000008A">
      <w:pPr>
        <w:spacing w:after="4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For corporate bonds, I projected a 5.2% return with 7.5% volatility. Current investment-grade corporate bond yields remain attractive due to elevated Treasury yields and credit spreads. However, returns may be somewhat lower than the historical 6% average because of uncertain future eco growth. International bonds are projected to return 4.5% annually with approximately 7.0% volatility. Developed-market bond yields outside the U.S. have risen significantly since 2022, improving expected forward returns</w:t>
      </w:r>
    </w:p>
    <w:p w:rsidR="00000000" w:rsidDel="00000000" w:rsidP="00000000" w:rsidRDefault="00000000" w:rsidRPr="00000000" w14:paraId="0000008B">
      <w:pPr>
        <w:spacing w:after="4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Stocks! I projected large-cap U.S. equities to return 6.5%, substantially below the historical average of 10.3%. This lower expectation reflects elevated market valuations, especially among large technology companies, as well as slower expected earnings growth compared to the past several decades. Mid-cap U.S. stocks are projected to return 7.5% with 19% volatility. Mid-cap firms generally offer somewhat stronger growth opportunities than large-cap firms while still benefiting from operational scale and liquidity. Also valuations are less stretched than the bigger companies. Small-cap U.S. stocks are projected at 8.0% returns with 23% volatility. Historically, small caps have earned a return premium due to their higher business risk and lower liquidity. While their historical volatility exceeded 30%, I expect somewhat lower future volatility due to broader diversification through modern ETFs and improved market liquidity- but still remaining risky. </w:t>
      </w:r>
    </w:p>
    <w:p w:rsidR="00000000" w:rsidDel="00000000" w:rsidP="00000000" w:rsidRDefault="00000000" w:rsidRPr="00000000" w14:paraId="0000008C">
      <w:pPr>
        <w:spacing w:after="4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International equities are projected to return 7.5%, close to historical averages and above projected U.S. large-cap returns. Current valuations in Europe and Japan are considerably lower than U.S. valuations, so they have some room to grow still. Emerging markets are projected to return 8.5% with 24% volatility. These markets continue to offer higher long-run economic growth potential, younger populations, and expanding middle classes. For REITs and real estate investments, I projected a 6.5% return and 16% volatility. Historical returns exceeded 11%, but current commercial real estate challenges, rising financing costs, and structural shifts in office demand suggest lower future expected returns. </w:t>
      </w:r>
    </w:p>
    <w:p w:rsidR="00000000" w:rsidDel="00000000" w:rsidP="00000000" w:rsidRDefault="00000000" w:rsidRPr="00000000" w14:paraId="0000008D">
      <w:pPr>
        <w:spacing w:after="4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Overall, my expectations are definitely more conservative. This reflects todays economy, where things have slowed and inflation is picking up, and the market valuations on some tech companies (nvda) are huge, and it is almost too big to justify a 5 trillion market cap, when that is some countries net worth. </w:t>
      </w:r>
    </w:p>
    <w:p w:rsidR="00000000" w:rsidDel="00000000" w:rsidP="00000000" w:rsidRDefault="00000000" w:rsidRPr="00000000" w14:paraId="0000008E">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8F">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90">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91">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92">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93">
      <w:pPr>
        <w:rPr/>
      </w:pPr>
      <w:r w:rsidDel="00000000" w:rsidR="00000000" w:rsidRPr="00000000">
        <w:rPr>
          <w:rFonts w:ascii="Times" w:cs="Times" w:eastAsia="Times" w:hAnsi="Times"/>
          <w:sz w:val="24"/>
          <w:szCs w:val="24"/>
          <w:rtl w:val="0"/>
        </w:rPr>
        <w:t xml:space="preserve">Part C — Correlations</w:t>
      </w:r>
      <w:r w:rsidDel="00000000" w:rsidR="00000000" w:rsidRPr="00000000">
        <w:rPr>
          <w:rtl w:val="0"/>
        </w:rPr>
      </w:r>
    </w:p>
    <w:p w:rsidR="00000000" w:rsidDel="00000000" w:rsidP="00000000" w:rsidRDefault="00000000" w:rsidRPr="00000000" w14:paraId="00000094">
      <w:pPr>
        <w:spacing w:after="120" w:lineRule="auto"/>
        <w:jc w:val="both"/>
        <w:rPr/>
      </w:pPr>
      <w:r w:rsidDel="00000000" w:rsidR="00000000" w:rsidRPr="00000000">
        <w:rPr>
          <w:rFonts w:ascii="Times" w:cs="Times" w:eastAsia="Times" w:hAnsi="Times"/>
          <w:sz w:val="24"/>
          <w:szCs w:val="24"/>
          <w:rtl w:val="0"/>
        </w:rPr>
        <w:t xml:space="preserve">Report historical correlations for the following three broad asset-class pairs over two periods: a long period (10 years or more) and the five years ending immediately before 2022 (i.e., 2017–2021). You may use index, passive mutual fund, or ETF proxies for each broad class.</w:t>
      </w:r>
      <w:r w:rsidDel="00000000" w:rsidR="00000000" w:rsidRPr="00000000">
        <w:rPr>
          <w:rtl w:val="0"/>
        </w:rPr>
      </w:r>
    </w:p>
    <w:p w:rsidR="00000000" w:rsidDel="00000000" w:rsidP="00000000" w:rsidRDefault="00000000" w:rsidRPr="00000000" w14:paraId="00000095">
      <w:pPr>
        <w:rPr/>
      </w:pPr>
      <w:r w:rsidDel="00000000" w:rsidR="00000000" w:rsidRPr="00000000">
        <w:rPr>
          <w:rFonts w:ascii="Times" w:cs="Times" w:eastAsia="Times" w:hAnsi="Times"/>
          <w:b w:val="1"/>
          <w:bCs w:val="1"/>
          <w:color w:val="1f3864"/>
          <w:sz w:val="20"/>
          <w:szCs w:val="20"/>
          <w:rtl w:val="0"/>
        </w:rPr>
        <w:t xml:space="preserve">Asset Pair</w:t>
      </w:r>
      <w:r w:rsidDel="00000000" w:rsidR="00000000" w:rsidRPr="00000000">
        <w:rPr>
          <w:rtl w:val="0"/>
        </w:rPr>
      </w:r>
    </w:p>
    <w:p w:rsidR="00000000" w:rsidDel="00000000" w:rsidP="00000000" w:rsidRDefault="00000000" w:rsidRPr="00000000" w14:paraId="00000096">
      <w:pPr>
        <w:rPr/>
      </w:pPr>
      <w:r w:rsidDel="00000000" w:rsidR="00000000" w:rsidRPr="00000000">
        <w:rPr>
          <w:rFonts w:ascii="Times" w:cs="Times" w:eastAsia="Times" w:hAnsi="Times"/>
          <w:b w:val="1"/>
          <w:bCs w:val="1"/>
          <w:color w:val="1f3864"/>
          <w:sz w:val="20"/>
          <w:szCs w:val="20"/>
          <w:rtl w:val="0"/>
        </w:rPr>
        <w:t xml:space="preserve">Long Period (10+ years)</w:t>
      </w:r>
      <w:r w:rsidDel="00000000" w:rsidR="00000000" w:rsidRPr="00000000">
        <w:rPr>
          <w:rtl w:val="0"/>
        </w:rPr>
      </w:r>
    </w:p>
    <w:p w:rsidR="00000000" w:rsidDel="00000000" w:rsidP="00000000" w:rsidRDefault="00000000" w:rsidRPr="00000000" w14:paraId="00000097">
      <w:pPr>
        <w:rPr/>
      </w:pPr>
      <w:r w:rsidDel="00000000" w:rsidR="00000000" w:rsidRPr="00000000">
        <w:rPr>
          <w:rFonts w:ascii="Times" w:cs="Times" w:eastAsia="Times" w:hAnsi="Times"/>
          <w:b w:val="1"/>
          <w:bCs w:val="1"/>
          <w:color w:val="1f3864"/>
          <w:sz w:val="20"/>
          <w:szCs w:val="20"/>
          <w:rtl w:val="0"/>
        </w:rPr>
        <w:t xml:space="preserve">5 Years Ending 2021</w: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Fonts w:ascii="Times" w:cs="Times" w:eastAsia="Times" w:hAnsi="Times"/>
          <w:b w:val="1"/>
          <w:bCs w:val="1"/>
          <w:sz w:val="20"/>
          <w:szCs w:val="20"/>
          <w:rtl w:val="0"/>
        </w:rPr>
        <w:t xml:space="preserve">U.S. Stocks vs. U.S. Bonds</w:t>
      </w:r>
      <w:r w:rsidDel="00000000" w:rsidR="00000000" w:rsidRPr="00000000">
        <w:rPr>
          <w:rtl w:val="0"/>
        </w:rPr>
      </w:r>
    </w:p>
    <w:p w:rsidR="00000000" w:rsidDel="00000000" w:rsidP="00000000" w:rsidRDefault="00000000" w:rsidRPr="00000000" w14:paraId="00000099">
      <w:pP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 Long period-  0.26</w:t>
      </w:r>
    </w:p>
    <w:p w:rsidR="00000000" w:rsidDel="00000000" w:rsidP="00000000" w:rsidRDefault="00000000" w:rsidRPr="00000000" w14:paraId="0000009A">
      <w:pPr>
        <w:rPr>
          <w:rFonts w:ascii="Times" w:cs="Times" w:eastAsia="Times" w:hAnsi="Times"/>
          <w:b w:val="1"/>
          <w:bCs w:val="1"/>
        </w:rPr>
      </w:pPr>
      <w:r w:rsidDel="00000000" w:rsidR="00000000" w:rsidRPr="00000000">
        <w:rPr>
          <w:rFonts w:ascii="Times" w:cs="Times" w:eastAsia="Times" w:hAnsi="Times"/>
          <w:b w:val="1"/>
          <w:bCs w:val="1"/>
          <w:rtl w:val="0"/>
        </w:rPr>
        <w:t xml:space="preserve">5 year period- 0.35</w:t>
      </w:r>
    </w:p>
    <w:p w:rsidR="00000000" w:rsidDel="00000000" w:rsidP="00000000" w:rsidRDefault="00000000" w:rsidRPr="00000000" w14:paraId="0000009B">
      <w:pPr>
        <w:rPr>
          <w:b w:val="1"/>
          <w:bCs w:val="1"/>
        </w:rPr>
      </w:pPr>
      <w:r w:rsidDel="00000000" w:rsidR="00000000" w:rsidRPr="00000000">
        <w:rPr>
          <w:rFonts w:ascii="Times" w:cs="Times" w:eastAsia="Times" w:hAnsi="Times"/>
          <w:b w:val="1"/>
          <w:bCs w:val="1"/>
          <w:sz w:val="20"/>
          <w:szCs w:val="20"/>
          <w:rtl w:val="0"/>
        </w:rPr>
        <w:t xml:space="preserve"> </w:t>
      </w: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Fonts w:ascii="Times" w:cs="Times" w:eastAsia="Times" w:hAnsi="Times"/>
          <w:b w:val="1"/>
          <w:bCs w:val="1"/>
          <w:sz w:val="20"/>
          <w:szCs w:val="20"/>
          <w:rtl w:val="0"/>
        </w:rPr>
        <w:t xml:space="preserve">U.S. Stocks vs. Alternatives</w:t>
      </w:r>
      <w:r w:rsidDel="00000000" w:rsidR="00000000" w:rsidRPr="00000000">
        <w:rPr>
          <w:rtl w:val="0"/>
        </w:rPr>
      </w:r>
    </w:p>
    <w:p w:rsidR="00000000" w:rsidDel="00000000" w:rsidP="00000000" w:rsidRDefault="00000000" w:rsidRPr="00000000" w14:paraId="0000009D">
      <w:pPr>
        <w:rPr>
          <w:rFonts w:ascii="Times" w:cs="Times" w:eastAsia="Times" w:hAnsi="Times"/>
          <w:b w:val="1"/>
          <w:bCs w:val="1"/>
        </w:rPr>
      </w:pPr>
      <w:r w:rsidDel="00000000" w:rsidR="00000000" w:rsidRPr="00000000">
        <w:rPr>
          <w:rFonts w:ascii="Times" w:cs="Times" w:eastAsia="Times" w:hAnsi="Times"/>
          <w:b w:val="1"/>
          <w:bCs w:val="1"/>
          <w:sz w:val="20"/>
          <w:szCs w:val="20"/>
          <w:rtl w:val="0"/>
        </w:rPr>
        <w:t xml:space="preserve"> </w:t>
      </w:r>
      <w:r w:rsidDel="00000000" w:rsidR="00000000" w:rsidRPr="00000000">
        <w:rPr>
          <w:rFonts w:ascii="Times" w:cs="Times" w:eastAsia="Times" w:hAnsi="Times"/>
          <w:b w:val="1"/>
          <w:bCs w:val="1"/>
          <w:rtl w:val="0"/>
        </w:rPr>
        <w:t xml:space="preserve">Long period- 0.75</w:t>
      </w:r>
    </w:p>
    <w:p w:rsidR="00000000" w:rsidDel="00000000" w:rsidP="00000000" w:rsidRDefault="00000000" w:rsidRPr="00000000" w14:paraId="0000009E">
      <w:pPr>
        <w:rPr>
          <w:rFonts w:ascii="Times" w:cs="Times" w:eastAsia="Times" w:hAnsi="Times"/>
          <w:b w:val="1"/>
          <w:bCs w:val="1"/>
        </w:rPr>
      </w:pPr>
      <w:r w:rsidDel="00000000" w:rsidR="00000000" w:rsidRPr="00000000">
        <w:rPr>
          <w:rFonts w:ascii="Times" w:cs="Times" w:eastAsia="Times" w:hAnsi="Times"/>
          <w:b w:val="1"/>
          <w:bCs w:val="1"/>
          <w:rtl w:val="0"/>
        </w:rPr>
        <w:t xml:space="preserve">5 year period- 0.76</w:t>
      </w:r>
    </w:p>
    <w:p w:rsidR="00000000" w:rsidDel="00000000" w:rsidP="00000000" w:rsidRDefault="00000000" w:rsidRPr="00000000" w14:paraId="0000009F">
      <w:pPr>
        <w:rPr>
          <w:b w:val="1"/>
          <w:bCs w:val="1"/>
        </w:rPr>
      </w:pPr>
      <w:r w:rsidDel="00000000" w:rsidR="00000000" w:rsidRPr="00000000">
        <w:rPr>
          <w:rFonts w:ascii="Times" w:cs="Times" w:eastAsia="Times" w:hAnsi="Times"/>
          <w:b w:val="1"/>
          <w:bCs w:val="1"/>
          <w:sz w:val="20"/>
          <w:szCs w:val="20"/>
          <w:rtl w:val="0"/>
        </w:rPr>
        <w:t xml:space="preserve"> </w:t>
      </w: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rFonts w:ascii="Times" w:cs="Times" w:eastAsia="Times" w:hAnsi="Times"/>
          <w:b w:val="1"/>
          <w:bCs w:val="1"/>
          <w:sz w:val="20"/>
          <w:szCs w:val="20"/>
          <w:rtl w:val="0"/>
        </w:rPr>
        <w:t xml:space="preserve">U.S. Bonds vs. Alternatives</w:t>
      </w:r>
      <w:r w:rsidDel="00000000" w:rsidR="00000000" w:rsidRPr="00000000">
        <w:rPr>
          <w:rtl w:val="0"/>
        </w:rPr>
      </w:r>
    </w:p>
    <w:p w:rsidR="00000000" w:rsidDel="00000000" w:rsidP="00000000" w:rsidRDefault="00000000" w:rsidRPr="00000000" w14:paraId="000000A1">
      <w:pPr>
        <w:rPr>
          <w:rFonts w:ascii="Times" w:cs="Times" w:eastAsia="Times" w:hAnsi="Times"/>
          <w:b w:val="1"/>
          <w:bCs w:val="1"/>
        </w:rPr>
      </w:pPr>
      <w:r w:rsidDel="00000000" w:rsidR="00000000" w:rsidRPr="00000000">
        <w:rPr>
          <w:rFonts w:ascii="Times" w:cs="Times" w:eastAsia="Times" w:hAnsi="Times"/>
          <w:b w:val="1"/>
          <w:bCs w:val="1"/>
          <w:sz w:val="20"/>
          <w:szCs w:val="20"/>
          <w:rtl w:val="0"/>
        </w:rPr>
        <w:t xml:space="preserve"> </w:t>
      </w:r>
      <w:r w:rsidDel="00000000" w:rsidR="00000000" w:rsidRPr="00000000">
        <w:rPr>
          <w:rFonts w:ascii="Times" w:cs="Times" w:eastAsia="Times" w:hAnsi="Times"/>
          <w:b w:val="1"/>
          <w:bCs w:val="1"/>
          <w:rtl w:val="0"/>
        </w:rPr>
        <w:t xml:space="preserve">Long period- 0.22</w:t>
      </w:r>
    </w:p>
    <w:p w:rsidR="00000000" w:rsidDel="00000000" w:rsidP="00000000" w:rsidRDefault="00000000" w:rsidRPr="00000000" w14:paraId="000000A2">
      <w:pPr>
        <w:rPr>
          <w:rFonts w:ascii="Times" w:cs="Times" w:eastAsia="Times" w:hAnsi="Times"/>
          <w:b w:val="1"/>
          <w:bCs w:val="1"/>
        </w:rPr>
      </w:pPr>
      <w:r w:rsidDel="00000000" w:rsidR="00000000" w:rsidRPr="00000000">
        <w:rPr>
          <w:rFonts w:ascii="Times" w:cs="Times" w:eastAsia="Times" w:hAnsi="Times"/>
          <w:b w:val="1"/>
          <w:bCs w:val="1"/>
          <w:rtl w:val="0"/>
        </w:rPr>
        <w:t xml:space="preserve">5 year period- -0.19</w:t>
      </w:r>
    </w:p>
    <w:p w:rsidR="00000000" w:rsidDel="00000000" w:rsidP="00000000" w:rsidRDefault="00000000" w:rsidRPr="00000000" w14:paraId="000000A3">
      <w:pPr>
        <w:rPr/>
      </w:pPr>
      <w:r w:rsidDel="00000000" w:rsidR="00000000" w:rsidRPr="00000000">
        <w:rPr>
          <w:rFonts w:ascii="Times" w:cs="Times" w:eastAsia="Times" w:hAnsi="Times"/>
          <w:sz w:val="20"/>
          <w:szCs w:val="20"/>
          <w:rtl w:val="0"/>
        </w:rPr>
        <w:t xml:space="preserve"> </w:t>
      </w:r>
      <w:r w:rsidDel="00000000" w:rsidR="00000000" w:rsidRPr="00000000">
        <w:rPr>
          <w:rtl w:val="0"/>
        </w:rPr>
      </w:r>
    </w:p>
    <w:p w:rsidR="00000000" w:rsidDel="00000000" w:rsidP="00000000" w:rsidRDefault="00000000" w:rsidRPr="00000000" w14:paraId="000000A4">
      <w:pPr>
        <w:spacing w:after="160" w:lineRule="auto"/>
        <w:rPr/>
      </w:pPr>
      <w:r w:rsidDel="00000000" w:rsidR="00000000" w:rsidRPr="00000000">
        <w:rPr>
          <w:rtl w:val="0"/>
        </w:rPr>
        <w:t xml:space="preserve">This source helped me with my calculations- </w:t>
      </w:r>
    </w:p>
    <w:p w:rsidR="00000000" w:rsidDel="00000000" w:rsidP="00000000" w:rsidRDefault="00000000" w:rsidRPr="00000000" w14:paraId="000000A5">
      <w:pPr>
        <w:spacing w:after="160" w:lineRule="auto"/>
        <w:rPr/>
      </w:pPr>
      <w:hyperlink r:id="rId7">
        <w:r w:rsidDel="00000000" w:rsidR="00000000" w:rsidRPr="00000000">
          <w:rPr>
            <w:color w:val="1155cc"/>
            <w:u w:val="single"/>
            <w:rtl w:val="0"/>
          </w:rPr>
          <w:t xml:space="preserve">https://www.portfoliovisualizer.com/asset-class-correlations</w:t>
        </w:r>
      </w:hyperlink>
      <w:r w:rsidDel="00000000" w:rsidR="00000000" w:rsidRPr="00000000">
        <w:rPr>
          <w:rtl w:val="0"/>
        </w:rPr>
      </w:r>
    </w:p>
    <w:p w:rsidR="00000000" w:rsidDel="00000000" w:rsidP="00000000" w:rsidRDefault="00000000" w:rsidRPr="00000000" w14:paraId="000000A6">
      <w:pPr>
        <w:spacing w:after="40" w:before="120" w:lineRule="auto"/>
        <w:rPr/>
      </w:pPr>
      <w:r w:rsidDel="00000000" w:rsidR="00000000" w:rsidRPr="00000000">
        <w:rPr>
          <w:rFonts w:ascii="Times" w:cs="Times" w:eastAsia="Times" w:hAnsi="Times"/>
          <w:b w:val="1"/>
          <w:bCs w:val="1"/>
          <w:color w:val="333333"/>
          <w:sz w:val="24"/>
          <w:szCs w:val="24"/>
          <w:rtl w:val="0"/>
        </w:rPr>
        <w:t xml:space="preserve">Briefly describe the source and specific time periods used for the correlation estimates above.</w:t>
      </w:r>
      <w:r w:rsidDel="00000000" w:rsidR="00000000" w:rsidRPr="00000000">
        <w:rPr>
          <w:rtl w:val="0"/>
        </w:rPr>
      </w:r>
    </w:p>
    <w:p w:rsidR="00000000" w:rsidDel="00000000" w:rsidP="00000000" w:rsidRDefault="00000000" w:rsidRPr="00000000" w14:paraId="000000A7">
      <w:pPr>
        <w:spacing w:after="40" w:lineRule="auto"/>
        <w:ind w:firstLine="720"/>
        <w:rPr/>
      </w:pPr>
      <w:r w:rsidDel="00000000" w:rsidR="00000000" w:rsidRPr="00000000">
        <w:rPr>
          <w:rFonts w:ascii="Times" w:cs="Times" w:eastAsia="Times" w:hAnsi="Times"/>
          <w:sz w:val="24"/>
          <w:szCs w:val="24"/>
          <w:rtl w:val="0"/>
        </w:rPr>
        <w:t xml:space="preserve"> For US stocks, I will use iShares Core S&amp;P 500 ETF, For US bonds, I will use Bloomberg U.S. Aggregate Bond Index, and for Alternatives, I will use FTSE Nareit All Equity REITs Index / Vanguard Real Estate ETF (VNQ). For the past 5 years, I used data from the past 5 years, and for the long run, I used data from Jan 2008–Apr 2026.</w:t>
      </w:r>
      <w:r w:rsidDel="00000000" w:rsidR="00000000" w:rsidRPr="00000000">
        <w:rPr>
          <w:rtl w:val="0"/>
        </w:rPr>
      </w:r>
    </w:p>
    <w:p w:rsidR="00000000" w:rsidDel="00000000" w:rsidP="00000000" w:rsidRDefault="00000000" w:rsidRPr="00000000" w14:paraId="000000A8">
      <w:pPr>
        <w:spacing w:after="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A9">
      <w:pPr>
        <w:spacing w:after="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Stocks vs Bonds - </w:t>
      </w:r>
    </w:p>
    <w:p w:rsidR="00000000" w:rsidDel="00000000" w:rsidP="00000000" w:rsidRDefault="00000000" w:rsidRPr="00000000" w14:paraId="000000AA">
      <w:pPr>
        <w:spacing w:after="4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What I noticed is that the 2017–2021 stock-bond correlation of +0.35 computed from annual returns appears to oppose the well-documented negative stock-bond relationship during this era. If stocks and bonds are supposed to react differently, why are they performing together? On an annual basis, both stocks and bonds rose together in 2017, 2019, and 2020, producing a positive annual correlation. But at monthly frequency, bonds typically gained when stocks fell, which makes sense, month to month- which begs the question that maybe monthly-frequency correlations are more analytically meaningful than annual, when building a portfolio. </w:t>
      </w:r>
    </w:p>
    <w:p w:rsidR="00000000" w:rsidDel="00000000" w:rsidP="00000000" w:rsidRDefault="00000000" w:rsidRPr="00000000" w14:paraId="000000AB">
      <w:pPr>
        <w:spacing w:after="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Stocks vs. Alternatives- </w:t>
      </w:r>
    </w:p>
    <w:p w:rsidR="00000000" w:rsidDel="00000000" w:rsidP="00000000" w:rsidRDefault="00000000" w:rsidRPr="00000000" w14:paraId="000000AC">
      <w:pPr>
        <w:spacing w:after="4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They have a high correlation with each other. That makes sense, when the stock market is performing well, it usually is connected to the economy doing well. And if alternatives mean things like real estate, real estate usually does well if the economy is good too. Also, the stock-REIT correlation of roughly +0.75 is stable across both periods, reflecting that publicly traded REITs trade on equity exchanges and are priced by the same risk-on/risk-off dynamics as stocks.</w:t>
      </w:r>
    </w:p>
    <w:p w:rsidR="00000000" w:rsidDel="00000000" w:rsidP="00000000" w:rsidRDefault="00000000" w:rsidRPr="00000000" w14:paraId="000000AD">
      <w:pPr>
        <w:spacing w:after="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Bonds vs Alternatives- </w:t>
      </w:r>
    </w:p>
    <w:p w:rsidR="00000000" w:rsidDel="00000000" w:rsidP="00000000" w:rsidRDefault="00000000" w:rsidRPr="00000000" w14:paraId="000000AE">
      <w:pPr>
        <w:spacing w:after="4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The long-period correlation is modestly positive, reflecting real estates' interest-rate sensitivity. The 2017–2021 figure turns slightly negative (−0.19) on annual data — primarily driven by 2020 (bonds surged on flight-to-safety while REITs fell on COVID-related real estate concerns) and 2021 (REITs surged +40% while bonds edged down on early rate-hike expectations). This suggests the bond-REIT hedge weakened entering the inflation cycle.</w:t>
      </w:r>
    </w:p>
    <w:p w:rsidR="00000000" w:rsidDel="00000000" w:rsidP="00000000" w:rsidRDefault="00000000" w:rsidRPr="00000000" w14:paraId="000000AF">
      <w:pPr>
        <w:spacing w:after="40" w:before="120" w:lineRule="auto"/>
        <w:rPr/>
      </w:pPr>
      <w:r w:rsidDel="00000000" w:rsidR="00000000" w:rsidRPr="00000000">
        <w:rPr>
          <w:rFonts w:ascii="Times" w:cs="Times" w:eastAsia="Times" w:hAnsi="Times"/>
          <w:b w:val="1"/>
          <w:bCs w:val="1"/>
          <w:color w:val="333333"/>
          <w:sz w:val="24"/>
          <w:szCs w:val="24"/>
          <w:rtl w:val="0"/>
        </w:rPr>
        <w:t xml:space="preserve">Discuss what happened to the correlations of these asset classes in 2022. What does this episode imply for the reliability of historical correlations as inputs to long-term asset allocation?</w:t>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B1">
      <w:pPr>
        <w:spacing w:after="4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In 2022, the historical relationship between these assets changed, especially between the stocks and bonds. For most of the period from 2008–2021, stocks and bonds had only modest positive correlation, but in 2022, both asset classes fell sharply, because of one thing- inflation. Inflation surged, and the Fed raised interest rates to stop hyperinflation, so a couple of things happened at once: </w:t>
      </w:r>
    </w:p>
    <w:p w:rsidR="00000000" w:rsidDel="00000000" w:rsidP="00000000" w:rsidRDefault="00000000" w:rsidRPr="00000000" w14:paraId="000000B2">
      <w:pPr>
        <w:numPr>
          <w:ilvl w:val="0"/>
          <w:numId w:val="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 stocks (S&amp;P 500 / SPY / IVV) fell significantly.</w:t>
      </w:r>
    </w:p>
    <w:p w:rsidR="00000000" w:rsidDel="00000000" w:rsidP="00000000" w:rsidRDefault="00000000" w:rsidRPr="00000000" w14:paraId="000000B3">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 bonds (AGG) also suffered one of their worst years in decades because rising yields caused bond prices to drop.</w:t>
      </w:r>
    </w:p>
    <w:p w:rsidR="00000000" w:rsidDel="00000000" w:rsidP="00000000" w:rsidRDefault="00000000" w:rsidRPr="00000000" w14:paraId="000000B4">
      <w:pPr>
        <w:numPr>
          <w:ilvl w:val="0"/>
          <w:numId w:val="1"/>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Real estate alternatives such as VNQ likewise declined as higher interest rates reduced property valuations and increased financing costs.</w:t>
      </w:r>
    </w:p>
    <w:p w:rsidR="00000000" w:rsidDel="00000000" w:rsidP="00000000" w:rsidRDefault="00000000" w:rsidRPr="00000000" w14:paraId="000000B5">
      <w:pPr>
        <w:spacing w:after="4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As they all fell, and since they were </w:t>
      </w:r>
      <w:r w:rsidDel="00000000" w:rsidR="00000000" w:rsidRPr="00000000">
        <w:rPr>
          <w:rFonts w:ascii="Times" w:cs="Times" w:eastAsia="Times" w:hAnsi="Times"/>
          <w:i w:val="1"/>
          <w:iCs w:val="1"/>
          <w:sz w:val="24"/>
          <w:szCs w:val="24"/>
          <w:rtl w:val="0"/>
        </w:rPr>
        <w:t xml:space="preserve">all </w:t>
      </w:r>
      <w:r w:rsidDel="00000000" w:rsidR="00000000" w:rsidRPr="00000000">
        <w:rPr>
          <w:rFonts w:ascii="Times" w:cs="Times" w:eastAsia="Times" w:hAnsi="Times"/>
          <w:sz w:val="24"/>
          <w:szCs w:val="24"/>
          <w:rtl w:val="0"/>
        </w:rPr>
        <w:t xml:space="preserve">falling, correlation jumped, and they all became positively correlated, since they were all moving in the same direction. </w:t>
      </w:r>
    </w:p>
    <w:p w:rsidR="00000000" w:rsidDel="00000000" w:rsidP="00000000" w:rsidRDefault="00000000" w:rsidRPr="00000000" w14:paraId="000000B6">
      <w:pPr>
        <w:spacing w:after="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7">
      <w:pPr>
        <w:spacing w:after="4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This implies risk in diversification for </w:t>
      </w:r>
      <w:r w:rsidDel="00000000" w:rsidR="00000000" w:rsidRPr="00000000">
        <w:rPr>
          <w:rFonts w:ascii="Times" w:cs="Times" w:eastAsia="Times" w:hAnsi="Times"/>
          <w:color w:val="333333"/>
          <w:sz w:val="24"/>
          <w:szCs w:val="24"/>
          <w:rtl w:val="0"/>
        </w:rPr>
        <w:t xml:space="preserve">the reliability of historical correlations as inputs to long-term asset allocation. 2022 shows that </w:t>
      </w:r>
      <w:r w:rsidDel="00000000" w:rsidR="00000000" w:rsidRPr="00000000">
        <w:rPr>
          <w:rFonts w:ascii="Times" w:cs="Times" w:eastAsia="Times" w:hAnsi="Times"/>
          <w:sz w:val="24"/>
          <w:szCs w:val="24"/>
          <w:rtl w:val="0"/>
        </w:rPr>
        <w:t xml:space="preserve">historical correlations are useful reference points but should not be treated as fixed or permanent characteristics of asset classes. It also shows that data over the long term can mask any year like 2022, because over the long run, that's just a small blip in the markets, but during that year, it was stressful for investors. It also means that investors should use scenario analysis and stress testing rather than relying exclusively on historical averages, long-term asset allocation should consider multiple economic regimes- including inflationary periods and recessions.</w:t>
      </w:r>
    </w:p>
    <w:p w:rsidR="00000000" w:rsidDel="00000000" w:rsidP="00000000" w:rsidRDefault="00000000" w:rsidRPr="00000000" w14:paraId="000000B8">
      <w:pPr>
        <w:spacing w:after="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BB">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BC">
      <w:pPr>
        <w:spacing w:after="40" w:lineRule="auto"/>
        <w:rPr/>
      </w:pPr>
      <w:r w:rsidDel="00000000" w:rsidR="00000000" w:rsidRPr="00000000">
        <w:rPr>
          <w:rFonts w:ascii="Times" w:cs="Times" w:eastAsia="Times" w:hAnsi="Times"/>
          <w:sz w:val="24"/>
          <w:szCs w:val="24"/>
          <w:rtl w:val="0"/>
        </w:rPr>
        <w:t xml:space="preserve"> </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ages.stern.nyu.edu/~adamodar/New_Home_Page/datafile/histretSP.html" TargetMode="External"/><Relationship Id="rId7" Type="http://schemas.openxmlformats.org/officeDocument/2006/relationships/hyperlink" Target="https://www.portfoliovisualizer.com/asset-class-corre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