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64E6B" w14:textId="77777777" w:rsidR="004045E4" w:rsidRDefault="007B35EA">
      <w:pPr>
        <w:spacing w:after="60"/>
        <w:jc w:val="center"/>
      </w:pPr>
      <w:r>
        <w:rPr>
          <w:b/>
          <w:bCs/>
          <w:color w:val="1F3864"/>
          <w:sz w:val="36"/>
          <w:szCs w:val="36"/>
        </w:rPr>
        <w:t>FIN 540 — Portfolio Management and Wealth Planning</w:t>
      </w:r>
    </w:p>
    <w:p w14:paraId="5CBB2D18" w14:textId="77777777" w:rsidR="004045E4" w:rsidRDefault="007B35EA">
      <w:pPr>
        <w:spacing w:after="240"/>
        <w:jc w:val="center"/>
      </w:pPr>
      <w:r>
        <w:rPr>
          <w:b/>
          <w:bCs/>
          <w:color w:val="595959"/>
          <w:sz w:val="28"/>
          <w:szCs w:val="28"/>
        </w:rPr>
        <w:t>Case Study Week 3: Asset Allocation</w:t>
      </w:r>
    </w:p>
    <w:p w14:paraId="13BDE3D6" w14:textId="77777777" w:rsidR="004045E4" w:rsidRDefault="007B35EA">
      <w:pPr>
        <w:pStyle w:val="Heading1"/>
        <w:pBdr>
          <w:bottom w:val="single" w:sz="8" w:space="2" w:color="2E75B6"/>
        </w:pBdr>
      </w:pPr>
      <w:r>
        <w:t>Course Case Study Overview</w:t>
      </w:r>
    </w:p>
    <w:p w14:paraId="76DA54B7" w14:textId="77777777" w:rsidR="004045E4" w:rsidRDefault="007B35EA">
      <w:pPr>
        <w:spacing w:after="120" w:line="300" w:lineRule="auto"/>
        <w:jc w:val="both"/>
      </w:pPr>
      <w:r>
        <w:t>Throughout this course, you will be working on a case study for a hypothetical client family, Mark and Lisa Taylor. Each week, for Weeks 1 through 6, you will submit your recommended solution to a portion of the case study.</w:t>
      </w:r>
    </w:p>
    <w:p w14:paraId="30F0F7BA" w14:textId="77777777" w:rsidR="004045E4" w:rsidRDefault="007B35EA">
      <w:pPr>
        <w:pStyle w:val="Heading1"/>
        <w:pBdr>
          <w:bottom w:val="single" w:sz="8" w:space="2" w:color="2E75B6"/>
        </w:pBdr>
      </w:pPr>
      <w:r>
        <w:t>Weekly Assignment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4045E4" w14:paraId="3F7383F8" w14:textId="77777777">
        <w:trPr>
          <w:tblHeader/>
        </w:trPr>
        <w:tc>
          <w:tcPr>
            <w:tcW w:w="144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275C6F2B" w14:textId="77777777" w:rsidR="004045E4" w:rsidRDefault="007B35EA">
            <w:r>
              <w:rPr>
                <w:b/>
                <w:bCs/>
                <w:color w:val="1F3864"/>
              </w:rPr>
              <w:t>Week</w:t>
            </w:r>
          </w:p>
        </w:tc>
        <w:tc>
          <w:tcPr>
            <w:tcW w:w="792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20217ADF" w14:textId="77777777" w:rsidR="004045E4" w:rsidRDefault="007B35EA">
            <w:r>
              <w:rPr>
                <w:b/>
                <w:bCs/>
                <w:color w:val="1F3864"/>
              </w:rPr>
              <w:t>Deliverable</w:t>
            </w:r>
          </w:p>
        </w:tc>
      </w:tr>
      <w:tr w:rsidR="004045E4" w14:paraId="2FD88AC3" w14:textId="77777777">
        <w:tc>
          <w:tcPr>
            <w:tcW w:w="14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9A9B75" w14:textId="77777777" w:rsidR="004045E4" w:rsidRDefault="007B35EA">
            <w:r>
              <w:rPr>
                <w:color w:val="000000"/>
              </w:rPr>
              <w:t>Week 1</w:t>
            </w:r>
          </w:p>
        </w:tc>
        <w:tc>
          <w:tcPr>
            <w:tcW w:w="79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4AB397" w14:textId="77777777" w:rsidR="004045E4" w:rsidRDefault="007B35EA">
            <w:r>
              <w:rPr>
                <w:color w:val="000000"/>
              </w:rPr>
              <w:t>Elements of an Investment Policy Statement (IPS) for the Taylor Family</w:t>
            </w:r>
          </w:p>
        </w:tc>
      </w:tr>
      <w:tr w:rsidR="004045E4" w14:paraId="3782BC9D" w14:textId="77777777">
        <w:tc>
          <w:tcPr>
            <w:tcW w:w="14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502BB1" w14:textId="77777777" w:rsidR="004045E4" w:rsidRDefault="007B35EA">
            <w:r>
              <w:rPr>
                <w:color w:val="000000"/>
              </w:rPr>
              <w:t>Week 2</w:t>
            </w:r>
          </w:p>
        </w:tc>
        <w:tc>
          <w:tcPr>
            <w:tcW w:w="79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A8D868" w14:textId="77777777" w:rsidR="004045E4" w:rsidRDefault="007B35EA">
            <w:r>
              <w:rPr>
                <w:color w:val="000000"/>
              </w:rPr>
              <w:t>Capital Market Expectations, including historical and projected returns, volatility, and correlations</w:t>
            </w:r>
          </w:p>
        </w:tc>
      </w:tr>
      <w:tr w:rsidR="004045E4" w14:paraId="27A12552" w14:textId="77777777">
        <w:tc>
          <w:tcPr>
            <w:tcW w:w="144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2D8A9AAB" w14:textId="77777777" w:rsidR="004045E4" w:rsidRDefault="007B35EA">
            <w:r>
              <w:rPr>
                <w:b/>
                <w:bCs/>
                <w:color w:val="000000"/>
              </w:rPr>
              <w:t>Week 3</w:t>
            </w:r>
          </w:p>
        </w:tc>
        <w:tc>
          <w:tcPr>
            <w:tcW w:w="792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395C5E79" w14:textId="77777777" w:rsidR="004045E4" w:rsidRDefault="007B35EA">
            <w:r>
              <w:rPr>
                <w:b/>
                <w:bCs/>
                <w:color w:val="000000"/>
              </w:rPr>
              <w:t>Recommended asset allocation, including sub-asset classes, for the Taylor Family</w:t>
            </w:r>
          </w:p>
        </w:tc>
      </w:tr>
      <w:tr w:rsidR="004045E4" w14:paraId="04E0FE1E" w14:textId="77777777">
        <w:tc>
          <w:tcPr>
            <w:tcW w:w="14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217AB3" w14:textId="77777777" w:rsidR="004045E4" w:rsidRDefault="007B35EA">
            <w:r>
              <w:rPr>
                <w:color w:val="000000"/>
              </w:rPr>
              <w:t>Week 4</w:t>
            </w:r>
          </w:p>
        </w:tc>
        <w:tc>
          <w:tcPr>
            <w:tcW w:w="79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6D22E8" w14:textId="77777777" w:rsidR="004045E4" w:rsidRDefault="007B35EA">
            <w:r>
              <w:rPr>
                <w:color w:val="000000"/>
              </w:rPr>
              <w:t>Recommended investments within each sub-asset class for the Taylor Family</w:t>
            </w:r>
          </w:p>
        </w:tc>
      </w:tr>
      <w:tr w:rsidR="004045E4" w14:paraId="2DD05C6E" w14:textId="77777777">
        <w:tc>
          <w:tcPr>
            <w:tcW w:w="14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6818496" w14:textId="77777777" w:rsidR="004045E4" w:rsidRDefault="007B35EA">
            <w:r>
              <w:rPr>
                <w:color w:val="000000"/>
              </w:rPr>
              <w:t>Week 5</w:t>
            </w:r>
          </w:p>
        </w:tc>
        <w:tc>
          <w:tcPr>
            <w:tcW w:w="79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C85777" w14:textId="77777777" w:rsidR="004045E4" w:rsidRDefault="007B35EA">
            <w:r>
              <w:rPr>
                <w:color w:val="000000"/>
              </w:rPr>
              <w:t>Client communication of your recommendations to the Taylor Family</w:t>
            </w:r>
          </w:p>
        </w:tc>
      </w:tr>
      <w:tr w:rsidR="004045E4" w14:paraId="01FB7FA2" w14:textId="77777777">
        <w:tc>
          <w:tcPr>
            <w:tcW w:w="14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76A687" w14:textId="77777777" w:rsidR="004045E4" w:rsidRDefault="007B35EA">
            <w:r>
              <w:rPr>
                <w:color w:val="000000"/>
              </w:rPr>
              <w:t>Week 6</w:t>
            </w:r>
          </w:p>
        </w:tc>
        <w:tc>
          <w:tcPr>
            <w:tcW w:w="79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DF5638" w14:textId="77777777" w:rsidR="004045E4" w:rsidRDefault="007B35EA">
            <w:r>
              <w:rPr>
                <w:color w:val="000000"/>
              </w:rPr>
              <w:t>Implementation plan for the Taylor Family, including asset location</w:t>
            </w:r>
          </w:p>
        </w:tc>
      </w:tr>
    </w:tbl>
    <w:p w14:paraId="285C22CD" w14:textId="77777777" w:rsidR="004045E4" w:rsidRDefault="004045E4">
      <w:pPr>
        <w:spacing w:after="160"/>
      </w:pPr>
    </w:p>
    <w:p w14:paraId="71AFC7BF" w14:textId="77777777" w:rsidR="004045E4" w:rsidRDefault="007B35EA">
      <w:pPr>
        <w:pStyle w:val="Heading1"/>
        <w:pBdr>
          <w:bottom w:val="single" w:sz="8" w:space="2" w:color="2E75B6"/>
        </w:pBdr>
      </w:pPr>
      <w:r>
        <w:t>Week 3 Assignment Overview</w:t>
      </w:r>
    </w:p>
    <w:p w14:paraId="7F8EE0D8" w14:textId="04F56239" w:rsidR="004045E4" w:rsidRDefault="007B35EA">
      <w:pPr>
        <w:spacing w:after="120" w:line="300" w:lineRule="auto"/>
        <w:jc w:val="both"/>
      </w:pPr>
      <w:r>
        <w:t xml:space="preserve">This week you will build an efficient frontier from your capital market expectations and develop a recommended asset allocation for the Taylor family. Your recommendation will draw on the Investment Policy Statement from Week 1, the capital market expectations from Week 2, and your reading </w:t>
      </w:r>
      <w:r w:rsidR="004A5839">
        <w:t>assignments</w:t>
      </w:r>
      <w:r>
        <w:t>.</w:t>
      </w:r>
    </w:p>
    <w:p w14:paraId="2754C56B" w14:textId="77777777" w:rsidR="004045E4" w:rsidRDefault="007B35EA">
      <w:pPr>
        <w:pStyle w:val="Heading1"/>
        <w:pBdr>
          <w:bottom w:val="single" w:sz="8" w:space="2" w:color="2E75B6"/>
        </w:pBdr>
      </w:pPr>
      <w:r>
        <w:t>General Guidance</w:t>
      </w:r>
    </w:p>
    <w:p w14:paraId="7A265297" w14:textId="77777777" w:rsidR="004045E4" w:rsidRDefault="007B35EA">
      <w:pPr>
        <w:pStyle w:val="ListParagraph"/>
        <w:numPr>
          <w:ilvl w:val="0"/>
          <w:numId w:val="2"/>
        </w:numPr>
        <w:spacing w:after="80" w:line="300" w:lineRule="auto"/>
      </w:pPr>
      <w:r>
        <w:t>Copy your Week 2 projected CMEs into the Part A table below. You may refine them based on instructor feedback or further deliberation — but state any changes you made relative to your Week 2 submission.</w:t>
      </w:r>
    </w:p>
    <w:p w14:paraId="2B3B57F4" w14:textId="273A0DFC" w:rsidR="004045E4" w:rsidRDefault="007B35EA">
      <w:pPr>
        <w:pStyle w:val="ListParagraph"/>
        <w:numPr>
          <w:ilvl w:val="0"/>
          <w:numId w:val="2"/>
        </w:numPr>
        <w:spacing w:after="80" w:line="300" w:lineRule="auto"/>
      </w:pPr>
      <w:r>
        <w:t xml:space="preserve">For correlations (Part B), </w:t>
      </w:r>
      <w:r w:rsidR="00E40A3E">
        <w:t xml:space="preserve">use historical correlations already in </w:t>
      </w:r>
      <w:r w:rsidR="006D5574">
        <w:t>P</w:t>
      </w:r>
      <w:r>
        <w:t xml:space="preserve">ortfolio Visualizer </w:t>
      </w:r>
      <w:r w:rsidR="006D5574">
        <w:t xml:space="preserve">which </w:t>
      </w:r>
      <w:r>
        <w:t xml:space="preserve">computes </w:t>
      </w:r>
      <w:r w:rsidR="006D5574">
        <w:t xml:space="preserve">these from </w:t>
      </w:r>
      <w:r>
        <w:t>ETF proxies for each asset class.</w:t>
      </w:r>
    </w:p>
    <w:p w14:paraId="1EA9F11A" w14:textId="77777777" w:rsidR="004045E4" w:rsidRDefault="007B35EA">
      <w:pPr>
        <w:pStyle w:val="ListParagraph"/>
        <w:numPr>
          <w:ilvl w:val="0"/>
          <w:numId w:val="2"/>
        </w:numPr>
        <w:spacing w:after="80" w:line="300" w:lineRule="auto"/>
      </w:pPr>
      <w:r>
        <w:lastRenderedPageBreak/>
        <w:t>Portfolio Visualizer’s Efficient Frontier tool (https://www.portfoliovisualizer.com/efficient-frontier) uses mean-variance (Markowitz) optimization to plot the set of portfolios that maximize expected return at each level of risk, given your inputs.</w:t>
      </w:r>
    </w:p>
    <w:p w14:paraId="78933487" w14:textId="77777777" w:rsidR="004045E4" w:rsidRDefault="007B35EA">
      <w:pPr>
        <w:pStyle w:val="ListParagraph"/>
        <w:numPr>
          <w:ilvl w:val="0"/>
          <w:numId w:val="2"/>
        </w:numPr>
        <w:spacing w:after="80" w:line="300" w:lineRule="auto"/>
      </w:pPr>
      <w:r>
        <w:t>When you select a point on the frontier (Part C), tie your choice explicitly to the return objective and risk tolerance you developed in the IPS (Week 1). The frontier is the menu; the IPS tells you where to order from.</w:t>
      </w:r>
    </w:p>
    <w:p w14:paraId="42532730" w14:textId="77777777" w:rsidR="004045E4" w:rsidRDefault="007B35EA">
      <w:pPr>
        <w:pStyle w:val="ListParagraph"/>
        <w:numPr>
          <w:ilvl w:val="0"/>
          <w:numId w:val="2"/>
        </w:numPr>
        <w:spacing w:after="80" w:line="300" w:lineRule="auto"/>
      </w:pPr>
      <w:r>
        <w:t>Part D is your recommended allocation — not necessarily the same as your Part C frontier point. Real-world recommendations often deviate from pure mean-variance optima due to sub-asset-class judgment, client preferences, behavioral considerations, and practical constraints. Where your Part D allocation differs from Part C, explain why.</w:t>
      </w:r>
    </w:p>
    <w:p w14:paraId="0B1337EE" w14:textId="77777777" w:rsidR="004045E4" w:rsidRDefault="007B35EA">
      <w:pPr>
        <w:pStyle w:val="ListParagraph"/>
        <w:numPr>
          <w:ilvl w:val="0"/>
          <w:numId w:val="2"/>
        </w:numPr>
        <w:spacing w:after="80" w:line="300" w:lineRule="auto"/>
      </w:pPr>
      <w:r>
        <w:t>You may use this Word file to submit your answers. If you do, please rename the file to include your name.</w:t>
      </w:r>
    </w:p>
    <w:p w14:paraId="7B55509E" w14:textId="77777777" w:rsidR="004045E4" w:rsidRDefault="007B35EA">
      <w:pPr>
        <w:pStyle w:val="Heading1"/>
        <w:pBdr>
          <w:bottom w:val="single" w:sz="8" w:space="2" w:color="2E75B6"/>
        </w:pBdr>
      </w:pPr>
      <w:r>
        <w:t>Part A — Capital Market Expectations (copied from Week 2)</w:t>
      </w:r>
    </w:p>
    <w:p w14:paraId="1302AF38" w14:textId="77777777" w:rsidR="004045E4" w:rsidRDefault="007B35EA">
      <w:pPr>
        <w:spacing w:after="120" w:line="300" w:lineRule="auto"/>
        <w:jc w:val="both"/>
      </w:pPr>
      <w:r>
        <w:t>Enter your projected CMEs below. These inputs will drive the efficient frontier in Part 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2700"/>
        <w:gridCol w:w="2700"/>
      </w:tblGrid>
      <w:tr w:rsidR="004045E4" w14:paraId="3AC4D8C8" w14:textId="77777777">
        <w:trPr>
          <w:tblHeader/>
        </w:trPr>
        <w:tc>
          <w:tcPr>
            <w:tcW w:w="396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6908A785" w14:textId="77777777" w:rsidR="004045E4" w:rsidRDefault="007B35EA">
            <w:r>
              <w:rPr>
                <w:b/>
                <w:bCs/>
                <w:color w:val="1F3864"/>
                <w:sz w:val="20"/>
                <w:szCs w:val="20"/>
              </w:rPr>
              <w:t>Asset Class</w:t>
            </w:r>
          </w:p>
        </w:tc>
        <w:tc>
          <w:tcPr>
            <w:tcW w:w="27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0C0F91A8" w14:textId="77777777" w:rsidR="004045E4" w:rsidRDefault="007B35EA">
            <w:r>
              <w:rPr>
                <w:b/>
                <w:bCs/>
                <w:color w:val="1F3864"/>
                <w:sz w:val="20"/>
                <w:szCs w:val="20"/>
              </w:rPr>
              <w:t>Projected Annualized Return</w:t>
            </w:r>
          </w:p>
        </w:tc>
        <w:tc>
          <w:tcPr>
            <w:tcW w:w="27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4C538291" w14:textId="77777777" w:rsidR="004045E4" w:rsidRDefault="007B35EA">
            <w:r>
              <w:rPr>
                <w:b/>
                <w:bCs/>
                <w:color w:val="1F3864"/>
                <w:sz w:val="20"/>
                <w:szCs w:val="20"/>
              </w:rPr>
              <w:t>Projected Standard Deviation</w:t>
            </w:r>
          </w:p>
        </w:tc>
      </w:tr>
      <w:tr w:rsidR="004045E4" w14:paraId="48AB4617" w14:textId="77777777">
        <w:tc>
          <w:tcPr>
            <w:tcW w:w="39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CBD3DE9" w14:textId="77777777" w:rsidR="004045E4" w:rsidRDefault="007B35EA">
            <w:r>
              <w:rPr>
                <w:sz w:val="20"/>
                <w:szCs w:val="20"/>
              </w:rPr>
              <w:t>Short-Term U.S. Treasuries</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2FCD188" w14:textId="6F6E03A2" w:rsidR="004045E4" w:rsidRDefault="007B35EA">
            <w:r>
              <w:rPr>
                <w:sz w:val="20"/>
                <w:szCs w:val="20"/>
              </w:rPr>
              <w:t xml:space="preserve"> </w:t>
            </w:r>
            <w:r w:rsidR="00EB3542" w:rsidRPr="00EB3542">
              <w:rPr>
                <w:sz w:val="20"/>
                <w:szCs w:val="20"/>
              </w:rPr>
              <w:t>3.3%,</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DE83067" w14:textId="77777777" w:rsidR="00EB3542" w:rsidRPr="00EB3542" w:rsidRDefault="007B35EA" w:rsidP="00EB3542">
            <w:pPr>
              <w:rPr>
                <w:sz w:val="20"/>
                <w:szCs w:val="20"/>
              </w:rPr>
            </w:pPr>
            <w:r>
              <w:rPr>
                <w:sz w:val="20"/>
                <w:szCs w:val="20"/>
              </w:rPr>
              <w:t xml:space="preserve"> </w:t>
            </w:r>
            <w:r w:rsidR="00EB3542" w:rsidRPr="00EB3542">
              <w:rPr>
                <w:sz w:val="20"/>
                <w:szCs w:val="20"/>
              </w:rPr>
              <w:t>3.1%</w:t>
            </w:r>
          </w:p>
          <w:p w14:paraId="67FF4FF5" w14:textId="1F9596A4" w:rsidR="004045E4" w:rsidRDefault="004045E4"/>
        </w:tc>
      </w:tr>
      <w:tr w:rsidR="004045E4" w14:paraId="4A4EB6FB" w14:textId="77777777">
        <w:tc>
          <w:tcPr>
            <w:tcW w:w="39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DACC342" w14:textId="77777777" w:rsidR="004045E4" w:rsidRDefault="007B35EA">
            <w:r>
              <w:rPr>
                <w:sz w:val="20"/>
                <w:szCs w:val="20"/>
              </w:rPr>
              <w:t>Intermediate-Term U.S. Treasuries</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7CBB231" w14:textId="6814B931" w:rsidR="004045E4" w:rsidRDefault="007B35EA">
            <w:r>
              <w:rPr>
                <w:sz w:val="20"/>
                <w:szCs w:val="20"/>
              </w:rPr>
              <w:t xml:space="preserve"> </w:t>
            </w:r>
            <w:r w:rsidR="00EB3542" w:rsidRPr="00EB3542">
              <w:rPr>
                <w:sz w:val="20"/>
                <w:szCs w:val="20"/>
              </w:rPr>
              <w:t>5.2%</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C7FB4F9" w14:textId="0B0CF2D7" w:rsidR="004045E4" w:rsidRDefault="007B35EA">
            <w:r>
              <w:rPr>
                <w:sz w:val="20"/>
                <w:szCs w:val="20"/>
              </w:rPr>
              <w:t xml:space="preserve"> </w:t>
            </w:r>
            <w:r w:rsidR="00EB3542" w:rsidRPr="00EB3542">
              <w:rPr>
                <w:sz w:val="20"/>
                <w:szCs w:val="20"/>
              </w:rPr>
              <w:t>5.7%</w:t>
            </w:r>
          </w:p>
        </w:tc>
      </w:tr>
      <w:tr w:rsidR="004045E4" w14:paraId="0AF88085" w14:textId="77777777">
        <w:tc>
          <w:tcPr>
            <w:tcW w:w="39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8CEA535" w14:textId="77777777" w:rsidR="004045E4" w:rsidRDefault="007B35EA">
            <w:r>
              <w:rPr>
                <w:sz w:val="20"/>
                <w:szCs w:val="20"/>
              </w:rPr>
              <w:t>Long-Term U.S. Treasuries</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AA4BCEB" w14:textId="1DF8081F" w:rsidR="004045E4" w:rsidRDefault="007B35EA">
            <w:r>
              <w:rPr>
                <w:sz w:val="20"/>
                <w:szCs w:val="20"/>
              </w:rPr>
              <w:t xml:space="preserve"> </w:t>
            </w:r>
            <w:r w:rsidR="00EB3542" w:rsidRPr="00EB3542">
              <w:rPr>
                <w:sz w:val="20"/>
                <w:szCs w:val="20"/>
              </w:rPr>
              <w:t>5.5%</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CF054F7" w14:textId="60F0DE20" w:rsidR="004045E4" w:rsidRDefault="007B35EA">
            <w:r>
              <w:rPr>
                <w:sz w:val="20"/>
                <w:szCs w:val="20"/>
              </w:rPr>
              <w:t xml:space="preserve"> </w:t>
            </w:r>
            <w:r w:rsidR="00EB3542" w:rsidRPr="00EB3542">
              <w:rPr>
                <w:sz w:val="20"/>
                <w:szCs w:val="20"/>
              </w:rPr>
              <w:t>9.9%</w:t>
            </w:r>
          </w:p>
        </w:tc>
      </w:tr>
      <w:tr w:rsidR="004045E4" w14:paraId="611EE807" w14:textId="77777777">
        <w:tc>
          <w:tcPr>
            <w:tcW w:w="39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A671A4C" w14:textId="77777777" w:rsidR="004045E4" w:rsidRDefault="007B35EA">
            <w:r>
              <w:rPr>
                <w:sz w:val="20"/>
                <w:szCs w:val="20"/>
              </w:rPr>
              <w:t>U.S. Corporate Bonds (intermediate to long term)</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068C759" w14:textId="494FDC80" w:rsidR="004045E4" w:rsidRDefault="007B35EA">
            <w:r>
              <w:rPr>
                <w:sz w:val="20"/>
                <w:szCs w:val="20"/>
              </w:rPr>
              <w:t xml:space="preserve"> </w:t>
            </w:r>
            <w:r w:rsidR="00EB3542" w:rsidRPr="00EB3542">
              <w:rPr>
                <w:sz w:val="20"/>
                <w:szCs w:val="20"/>
              </w:rPr>
              <w:t>6%</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EB49758" w14:textId="770B2949" w:rsidR="004045E4" w:rsidRDefault="007B35EA">
            <w:r>
              <w:rPr>
                <w:sz w:val="20"/>
                <w:szCs w:val="20"/>
              </w:rPr>
              <w:t xml:space="preserve"> </w:t>
            </w:r>
            <w:r w:rsidR="00EB3542" w:rsidRPr="00EB3542">
              <w:rPr>
                <w:sz w:val="20"/>
                <w:szCs w:val="20"/>
              </w:rPr>
              <w:t>8.5%</w:t>
            </w:r>
          </w:p>
        </w:tc>
      </w:tr>
      <w:tr w:rsidR="004045E4" w14:paraId="5F00918F" w14:textId="77777777">
        <w:tc>
          <w:tcPr>
            <w:tcW w:w="39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9B8454F" w14:textId="77777777" w:rsidR="004045E4" w:rsidRDefault="007B35EA">
            <w:r>
              <w:rPr>
                <w:sz w:val="20"/>
                <w:szCs w:val="20"/>
              </w:rPr>
              <w:t>International Bonds</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D47CFB3" w14:textId="03839CAC" w:rsidR="004045E4" w:rsidRDefault="007B35EA">
            <w:r>
              <w:rPr>
                <w:sz w:val="20"/>
                <w:szCs w:val="20"/>
              </w:rPr>
              <w:t xml:space="preserve"> </w:t>
            </w:r>
            <w:r w:rsidR="00EB3542" w:rsidRPr="00EB3542">
              <w:rPr>
                <w:sz w:val="20"/>
                <w:szCs w:val="20"/>
              </w:rPr>
              <w:t>3.8%</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6F7E45D" w14:textId="3ABBE7B8" w:rsidR="004045E4" w:rsidRDefault="007B35EA">
            <w:r>
              <w:rPr>
                <w:sz w:val="20"/>
                <w:szCs w:val="20"/>
              </w:rPr>
              <w:t xml:space="preserve"> </w:t>
            </w:r>
            <w:r w:rsidR="00EB3542" w:rsidRPr="00EB3542">
              <w:rPr>
                <w:sz w:val="20"/>
                <w:szCs w:val="20"/>
              </w:rPr>
              <w:t>8.5%</w:t>
            </w:r>
          </w:p>
        </w:tc>
      </w:tr>
      <w:tr w:rsidR="004045E4" w14:paraId="4818EBEA" w14:textId="77777777">
        <w:tc>
          <w:tcPr>
            <w:tcW w:w="39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3DD099F" w14:textId="77777777" w:rsidR="004045E4" w:rsidRDefault="007B35EA">
            <w:r>
              <w:rPr>
                <w:sz w:val="20"/>
                <w:szCs w:val="20"/>
              </w:rPr>
              <w:t>Large-Cap U.S. Stocks</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1C6D71A" w14:textId="183D79DF" w:rsidR="004045E4" w:rsidRDefault="007B35EA">
            <w:r>
              <w:rPr>
                <w:sz w:val="20"/>
                <w:szCs w:val="20"/>
              </w:rPr>
              <w:t xml:space="preserve"> </w:t>
            </w:r>
            <w:r w:rsidR="00EB3542" w:rsidRPr="00EB3542">
              <w:rPr>
                <w:sz w:val="20"/>
                <w:szCs w:val="20"/>
              </w:rPr>
              <w:t>10.3%</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436DF15" w14:textId="54CC9613" w:rsidR="004045E4" w:rsidRDefault="007B35EA">
            <w:r>
              <w:rPr>
                <w:sz w:val="20"/>
                <w:szCs w:val="20"/>
              </w:rPr>
              <w:t xml:space="preserve"> </w:t>
            </w:r>
            <w:r w:rsidR="00EB3542" w:rsidRPr="00EB3542">
              <w:rPr>
                <w:sz w:val="20"/>
                <w:szCs w:val="20"/>
              </w:rPr>
              <w:t>20%</w:t>
            </w:r>
          </w:p>
        </w:tc>
      </w:tr>
      <w:tr w:rsidR="004045E4" w14:paraId="0CA060AD" w14:textId="77777777">
        <w:tc>
          <w:tcPr>
            <w:tcW w:w="39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F1F4E30" w14:textId="77777777" w:rsidR="004045E4" w:rsidRDefault="007B35EA">
            <w:r>
              <w:rPr>
                <w:sz w:val="20"/>
                <w:szCs w:val="20"/>
              </w:rPr>
              <w:t>Mid-Cap U.S. Stocks</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F079400" w14:textId="0FCDB262" w:rsidR="004045E4" w:rsidRDefault="007B35EA">
            <w:r>
              <w:rPr>
                <w:sz w:val="20"/>
                <w:szCs w:val="20"/>
              </w:rPr>
              <w:t xml:space="preserve"> </w:t>
            </w:r>
            <w:r w:rsidR="00EB3542" w:rsidRPr="00EB3542">
              <w:rPr>
                <w:sz w:val="20"/>
                <w:szCs w:val="20"/>
              </w:rPr>
              <w:t>10.7%</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0C5BAEA" w14:textId="315D070A" w:rsidR="004045E4" w:rsidRDefault="007B35EA">
            <w:r>
              <w:rPr>
                <w:sz w:val="20"/>
                <w:szCs w:val="20"/>
              </w:rPr>
              <w:t xml:space="preserve"> </w:t>
            </w:r>
            <w:r w:rsidR="00EB3542">
              <w:rPr>
                <w:sz w:val="20"/>
                <w:szCs w:val="20"/>
              </w:rPr>
              <w:t>17.9%</w:t>
            </w:r>
          </w:p>
        </w:tc>
      </w:tr>
      <w:tr w:rsidR="004045E4" w14:paraId="24FC17FD" w14:textId="77777777">
        <w:tc>
          <w:tcPr>
            <w:tcW w:w="39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FA99320" w14:textId="77777777" w:rsidR="004045E4" w:rsidRDefault="007B35EA">
            <w:r>
              <w:rPr>
                <w:sz w:val="20"/>
                <w:szCs w:val="20"/>
              </w:rPr>
              <w:t>Small-Cap U.S. Stocks</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77E415D" w14:textId="4B44A449" w:rsidR="004045E4" w:rsidRDefault="007B35EA">
            <w:r>
              <w:rPr>
                <w:sz w:val="20"/>
                <w:szCs w:val="20"/>
              </w:rPr>
              <w:t xml:space="preserve"> </w:t>
            </w:r>
            <w:r w:rsidR="00EB3542">
              <w:rPr>
                <w:sz w:val="20"/>
                <w:szCs w:val="20"/>
              </w:rPr>
              <w:t>12%</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19E67AD" w14:textId="6635A11A" w:rsidR="004045E4" w:rsidRDefault="007B35EA">
            <w:r>
              <w:rPr>
                <w:sz w:val="20"/>
                <w:szCs w:val="20"/>
              </w:rPr>
              <w:t xml:space="preserve"> </w:t>
            </w:r>
            <w:r w:rsidR="00EB3542">
              <w:rPr>
                <w:sz w:val="20"/>
                <w:szCs w:val="20"/>
              </w:rPr>
              <w:t>31.6%</w:t>
            </w:r>
          </w:p>
        </w:tc>
      </w:tr>
      <w:tr w:rsidR="004045E4" w14:paraId="76BBDF8F" w14:textId="77777777">
        <w:tc>
          <w:tcPr>
            <w:tcW w:w="39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6310AF7" w14:textId="77777777" w:rsidR="004045E4" w:rsidRDefault="007B35EA">
            <w:r>
              <w:rPr>
                <w:sz w:val="20"/>
                <w:szCs w:val="20"/>
              </w:rPr>
              <w:t>International Developed-Market Stocks</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27E9F90" w14:textId="52941B2A" w:rsidR="004045E4" w:rsidRDefault="007B35EA">
            <w:r>
              <w:rPr>
                <w:sz w:val="20"/>
                <w:szCs w:val="20"/>
              </w:rPr>
              <w:t xml:space="preserve"> </w:t>
            </w:r>
            <w:r w:rsidR="00EB3542">
              <w:rPr>
                <w:sz w:val="20"/>
                <w:szCs w:val="20"/>
              </w:rPr>
              <w:t>8.5%</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EBC3EA3" w14:textId="71F0C318" w:rsidR="004045E4" w:rsidRDefault="007B35EA">
            <w:r>
              <w:rPr>
                <w:sz w:val="20"/>
                <w:szCs w:val="20"/>
              </w:rPr>
              <w:t xml:space="preserve"> </w:t>
            </w:r>
            <w:r w:rsidR="00EB3542">
              <w:rPr>
                <w:sz w:val="20"/>
                <w:szCs w:val="20"/>
              </w:rPr>
              <w:t>17%</w:t>
            </w:r>
          </w:p>
        </w:tc>
      </w:tr>
      <w:tr w:rsidR="004045E4" w14:paraId="6B5D8F28" w14:textId="77777777">
        <w:tc>
          <w:tcPr>
            <w:tcW w:w="39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07C63D1" w14:textId="77777777" w:rsidR="004045E4" w:rsidRDefault="007B35EA">
            <w:r>
              <w:rPr>
                <w:sz w:val="20"/>
                <w:szCs w:val="20"/>
              </w:rPr>
              <w:t>Emerging-Markets Stocks</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F0E0DEF" w14:textId="7BA385DD" w:rsidR="004045E4" w:rsidRDefault="007B35EA">
            <w:r>
              <w:rPr>
                <w:sz w:val="20"/>
                <w:szCs w:val="20"/>
              </w:rPr>
              <w:t xml:space="preserve"> </w:t>
            </w:r>
            <w:r w:rsidR="00EB3542">
              <w:rPr>
                <w:sz w:val="20"/>
                <w:szCs w:val="20"/>
              </w:rPr>
              <w:t>8.5%</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9396ED4" w14:textId="62617527" w:rsidR="004045E4" w:rsidRDefault="007B35EA">
            <w:r>
              <w:rPr>
                <w:sz w:val="20"/>
                <w:szCs w:val="20"/>
              </w:rPr>
              <w:t xml:space="preserve"> </w:t>
            </w:r>
            <w:r w:rsidR="00EB3542">
              <w:rPr>
                <w:sz w:val="20"/>
                <w:szCs w:val="20"/>
              </w:rPr>
              <w:t>23%</w:t>
            </w:r>
          </w:p>
        </w:tc>
      </w:tr>
      <w:tr w:rsidR="004045E4" w14:paraId="644EB619" w14:textId="77777777">
        <w:tc>
          <w:tcPr>
            <w:tcW w:w="39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F49F10E" w14:textId="77777777" w:rsidR="004045E4" w:rsidRDefault="007B35EA">
            <w:r>
              <w:rPr>
                <w:sz w:val="20"/>
                <w:szCs w:val="20"/>
              </w:rPr>
              <w:t>Alternatives — Real Estate</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2B1AC48" w14:textId="08C8764C" w:rsidR="004045E4" w:rsidRDefault="007B35EA">
            <w:r>
              <w:rPr>
                <w:sz w:val="20"/>
                <w:szCs w:val="20"/>
              </w:rPr>
              <w:t xml:space="preserve"> </w:t>
            </w:r>
            <w:r w:rsidR="00EB3542">
              <w:rPr>
                <w:sz w:val="20"/>
                <w:szCs w:val="20"/>
              </w:rPr>
              <w:t>11.4%</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52B2C4A" w14:textId="6619C30A" w:rsidR="004045E4" w:rsidRDefault="007B35EA">
            <w:r>
              <w:rPr>
                <w:sz w:val="20"/>
                <w:szCs w:val="20"/>
              </w:rPr>
              <w:t xml:space="preserve"> </w:t>
            </w:r>
            <w:r w:rsidR="00EB3542">
              <w:rPr>
                <w:sz w:val="20"/>
                <w:szCs w:val="20"/>
              </w:rPr>
              <w:t>15.5%</w:t>
            </w:r>
          </w:p>
        </w:tc>
      </w:tr>
      <w:tr w:rsidR="004045E4" w14:paraId="319CB4BD" w14:textId="77777777">
        <w:tc>
          <w:tcPr>
            <w:tcW w:w="39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AACC528" w14:textId="77777777" w:rsidR="004045E4" w:rsidRDefault="007B35EA">
            <w:r>
              <w:rPr>
                <w:sz w:val="20"/>
                <w:szCs w:val="20"/>
              </w:rPr>
              <w:t>Alternatives — Commodities</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11474D6" w14:textId="40A85807" w:rsidR="004045E4" w:rsidRDefault="007B35EA">
            <w:r>
              <w:rPr>
                <w:sz w:val="20"/>
                <w:szCs w:val="20"/>
              </w:rPr>
              <w:t xml:space="preserve"> </w:t>
            </w:r>
            <w:r w:rsidR="00EB3542">
              <w:rPr>
                <w:sz w:val="20"/>
                <w:szCs w:val="20"/>
              </w:rPr>
              <w:t>5.8%</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8D2FF65" w14:textId="7B68FA38" w:rsidR="004045E4" w:rsidRDefault="007B35EA">
            <w:r>
              <w:rPr>
                <w:sz w:val="20"/>
                <w:szCs w:val="20"/>
              </w:rPr>
              <w:t xml:space="preserve"> </w:t>
            </w:r>
            <w:r w:rsidR="00EB3542">
              <w:rPr>
                <w:sz w:val="20"/>
                <w:szCs w:val="20"/>
              </w:rPr>
              <w:t>20%</w:t>
            </w:r>
          </w:p>
        </w:tc>
      </w:tr>
    </w:tbl>
    <w:p w14:paraId="63CE717A" w14:textId="77777777" w:rsidR="004045E4" w:rsidRDefault="004045E4">
      <w:pPr>
        <w:spacing w:after="160"/>
      </w:pPr>
    </w:p>
    <w:p w14:paraId="01E445B8" w14:textId="77777777" w:rsidR="004045E4" w:rsidRDefault="007B35EA">
      <w:pPr>
        <w:pStyle w:val="Heading1"/>
        <w:pBdr>
          <w:bottom w:val="single" w:sz="8" w:space="2" w:color="2E75B6"/>
        </w:pBdr>
      </w:pPr>
      <w:r>
        <w:t>Part B — Correlations Review</w:t>
      </w:r>
    </w:p>
    <w:p w14:paraId="2D5342A4" w14:textId="1308191C" w:rsidR="004045E4" w:rsidRDefault="007B35EA">
      <w:pPr>
        <w:spacing w:after="120" w:line="300" w:lineRule="auto"/>
        <w:jc w:val="both"/>
      </w:pPr>
      <w:r>
        <w:t xml:space="preserve">Using the provided Portfolio Visualizer correlation file </w:t>
      </w:r>
      <w:r w:rsidR="00E47478">
        <w:t xml:space="preserve">provided </w:t>
      </w:r>
      <w:r>
        <w:t xml:space="preserve">(which computes correlations from monthly returns of ETFs representing each asset class), choose one equity ETF, one bond ETF, </w:t>
      </w:r>
      <w:r>
        <w:lastRenderedPageBreak/>
        <w:t>and one alternative ETF from the table. Discuss the pairwise correlations Portfolio Visualizer reports among these three ETFs. Comment on whether you believe the reported correlations are reasonable, or whether any should be adjusted based on your forward-looking expectations from Week 2.</w:t>
      </w:r>
    </w:p>
    <w:p w14:paraId="6E305A28" w14:textId="77777777" w:rsidR="004045E4" w:rsidRDefault="007B35EA">
      <w:pPr>
        <w:spacing w:before="120" w:after="40"/>
      </w:pPr>
      <w:r>
        <w:rPr>
          <w:b/>
          <w:bCs/>
          <w:color w:val="333333"/>
        </w:rPr>
        <w:t>ETFs selected (equity / bond / alternative) and pairwise correlations observed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45E4" w14:paraId="19A40FFE"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FFF9370" w14:textId="77777777" w:rsidR="004045E4" w:rsidRDefault="007B35EA">
            <w:pPr>
              <w:spacing w:after="40"/>
            </w:pPr>
            <w:r>
              <w:t xml:space="preserve"> </w:t>
            </w:r>
          </w:p>
          <w:p w14:paraId="1AC8008A" w14:textId="07DE122C" w:rsidR="004045E4" w:rsidRDefault="007B35EA">
            <w:pPr>
              <w:spacing w:after="40"/>
            </w:pPr>
            <w:r>
              <w:t xml:space="preserve"> </w:t>
            </w:r>
            <w:r w:rsidR="00A766FD">
              <w:t xml:space="preserve">Hey! I am going to go with </w:t>
            </w:r>
            <w:r w:rsidR="00A766FD" w:rsidRPr="00A766FD">
              <w:rPr>
                <w:b/>
                <w:bCs/>
              </w:rPr>
              <w:t>IVV</w:t>
            </w:r>
            <w:r w:rsidR="00A766FD" w:rsidRPr="00A766FD">
              <w:rPr>
                <w:b/>
                <w:bCs/>
              </w:rPr>
              <w:t xml:space="preserve"> / AGG / VNQ</w:t>
            </w:r>
            <w:r w:rsidR="00A766FD" w:rsidRPr="00A766FD">
              <w:rPr>
                <w:b/>
                <w:bCs/>
              </w:rPr>
              <w:t>,</w:t>
            </w:r>
            <w:r w:rsidR="00A766FD">
              <w:t xml:space="preserve"> since it keeps me consistent with the proxies I used in week 2. So IVV goes with equity/stocks, while AGG goes with Bonds, and VNQ goes with alternatives/Real estate. </w:t>
            </w:r>
            <w:r w:rsidR="00A766FD" w:rsidRPr="00A766FD">
              <w:t xml:space="preserve">Over the monthly 2008–2026 window, </w:t>
            </w:r>
            <w:r w:rsidR="002F3154">
              <w:t xml:space="preserve">the excel spreadsheet </w:t>
            </w:r>
            <w:r w:rsidR="00A766FD" w:rsidRPr="00A766FD">
              <w:t>reports IVV–AGG at 0.26, IVV–VNQ at 0.75, and AGG–VNQ at 0.44. The stocks–bonds figure is low, which is what makes bonds the diversifier in the portfolio. Stocks–REITs is high at 0.75 because VNQ holds publicly traded REITs that trade on equity exchanges and react to the same risk-on/risk-off moves as stocks.</w:t>
            </w:r>
          </w:p>
          <w:p w14:paraId="05C9613D" w14:textId="77777777" w:rsidR="004045E4" w:rsidRDefault="007B35EA">
            <w:pPr>
              <w:spacing w:after="40"/>
            </w:pPr>
            <w:r>
              <w:t xml:space="preserve"> </w:t>
            </w:r>
          </w:p>
        </w:tc>
      </w:tr>
    </w:tbl>
    <w:p w14:paraId="46064AE8" w14:textId="77777777" w:rsidR="004045E4" w:rsidRDefault="007B35EA">
      <w:pPr>
        <w:spacing w:before="120" w:after="40"/>
      </w:pPr>
      <w:r>
        <w:rPr>
          <w:b/>
          <w:bCs/>
          <w:color w:val="333333"/>
        </w:rPr>
        <w:t>Assessment of reasonableness — do you accept these correlations as inputs to the optimization, or would you adjust them? Justify.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45E4" w14:paraId="5C10EB06"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A7472A1" w14:textId="77777777" w:rsidR="004045E4" w:rsidRDefault="007B35EA">
            <w:pPr>
              <w:spacing w:after="40"/>
            </w:pPr>
            <w:r>
              <w:t xml:space="preserve"> </w:t>
            </w:r>
          </w:p>
          <w:p w14:paraId="605E8E36" w14:textId="1934DB78" w:rsidR="004045E4" w:rsidRDefault="007B35EA">
            <w:pPr>
              <w:spacing w:after="40"/>
            </w:pPr>
            <w:r>
              <w:t xml:space="preserve"> </w:t>
            </w:r>
            <w:r w:rsidR="002F3154" w:rsidRPr="002F3154">
              <w:t xml:space="preserve">I accept these as my optimizer inputs. They're computed consistently from monthly ETF returns over a long </w:t>
            </w:r>
            <w:r w:rsidR="002F3154" w:rsidRPr="002F3154">
              <w:t>window and</w:t>
            </w:r>
            <w:r w:rsidR="002F3154" w:rsidRPr="002F3154">
              <w:t xml:space="preserve"> adjusting them by hand would just add my own subjective</w:t>
            </w:r>
            <w:r w:rsidR="002F3154">
              <w:t>/bias</w:t>
            </w:r>
            <w:r w:rsidR="002F3154" w:rsidRPr="002F3154">
              <w:t xml:space="preserve"> error on top. </w:t>
            </w:r>
            <w:r w:rsidR="002F3154">
              <w:t xml:space="preserve">(plus, I trust the professors excel) </w:t>
            </w:r>
            <w:r w:rsidR="002F3154" w:rsidRPr="002F3154">
              <w:t>They also</w:t>
            </w:r>
            <w:r w:rsidR="002F3154">
              <w:t xml:space="preserve"> make sense-</w:t>
            </w:r>
            <w:r w:rsidR="002F3154" w:rsidRPr="002F3154">
              <w:t xml:space="preserve"> REITs trade like stocks, so a high 0.75 makes sense, and real </w:t>
            </w:r>
            <w:r w:rsidR="002F3154" w:rsidRPr="002F3154">
              <w:t>estate</w:t>
            </w:r>
            <w:r w:rsidR="002F3154" w:rsidRPr="002F3154">
              <w:t xml:space="preserve"> rate sensitivity supports a moderate bond</w:t>
            </w:r>
            <w:r w:rsidR="002F3154">
              <w:t>-</w:t>
            </w:r>
            <w:r w:rsidR="002F3154" w:rsidRPr="002F3154">
              <w:t xml:space="preserve">REIT link. The one I'd </w:t>
            </w:r>
            <w:proofErr w:type="gramStart"/>
            <w:r w:rsidR="002F3154" w:rsidRPr="002F3154">
              <w:t>flag</w:t>
            </w:r>
            <w:proofErr w:type="gramEnd"/>
            <w:r w:rsidR="002F3154" w:rsidRPr="002F3154">
              <w:t xml:space="preserve"> is stocks</w:t>
            </w:r>
            <w:r w:rsidR="002F3154">
              <w:t>-</w:t>
            </w:r>
            <w:r w:rsidR="002F3154" w:rsidRPr="002F3154">
              <w:t xml:space="preserve">bonds: 0.26 blends two very different regimes, and forward-looking I think there's a real chance we stay in an inflation regime where stocks and bonds stay positively correlated, which would shrink the diversification benefit bonds are supposed to provide. </w:t>
            </w:r>
            <w:proofErr w:type="gramStart"/>
            <w:r w:rsidR="002F3154" w:rsidRPr="002F3154">
              <w:t>So</w:t>
            </w:r>
            <w:proofErr w:type="gramEnd"/>
            <w:r w:rsidR="002F3154" w:rsidRPr="002F3154">
              <w:t xml:space="preserve"> I accept 0.26 as the base case but would stress-test the allocation against a higher figure (~0.35</w:t>
            </w:r>
            <w:r w:rsidR="002F3154">
              <w:t>-</w:t>
            </w:r>
            <w:r w:rsidR="002F3154" w:rsidRPr="002F3154">
              <w:t>0.40)</w:t>
            </w:r>
            <w:r w:rsidR="002F3154">
              <w:t xml:space="preserve">. Bonds are still </w:t>
            </w:r>
            <w:proofErr w:type="gramStart"/>
            <w:r w:rsidR="002F3154">
              <w:t>great</w:t>
            </w:r>
            <w:proofErr w:type="gramEnd"/>
            <w:r w:rsidR="002F3154">
              <w:t xml:space="preserve"> but I want to be </w:t>
            </w:r>
            <w:r w:rsidR="002F3154" w:rsidRPr="002F3154">
              <w:t>consistent with my Week 2 view that historical correlations are useful reference points but shouldn't be treated as permanent.</w:t>
            </w:r>
          </w:p>
          <w:p w14:paraId="2682940C" w14:textId="77777777" w:rsidR="004045E4" w:rsidRDefault="007B35EA">
            <w:pPr>
              <w:spacing w:after="40"/>
            </w:pPr>
            <w:r>
              <w:t xml:space="preserve"> </w:t>
            </w:r>
          </w:p>
          <w:p w14:paraId="7A764F72" w14:textId="77777777" w:rsidR="004045E4" w:rsidRDefault="007B35EA">
            <w:pPr>
              <w:spacing w:after="40"/>
            </w:pPr>
            <w:r>
              <w:t xml:space="preserve"> </w:t>
            </w:r>
          </w:p>
          <w:p w14:paraId="27D2C65F" w14:textId="77777777" w:rsidR="004045E4" w:rsidRDefault="007B35EA">
            <w:pPr>
              <w:spacing w:after="40"/>
            </w:pPr>
            <w:r>
              <w:t xml:space="preserve"> </w:t>
            </w:r>
          </w:p>
        </w:tc>
      </w:tr>
    </w:tbl>
    <w:p w14:paraId="10152E15" w14:textId="77777777" w:rsidR="004045E4" w:rsidRDefault="007B35EA">
      <w:pPr>
        <w:pStyle w:val="Heading1"/>
        <w:pBdr>
          <w:bottom w:val="single" w:sz="8" w:space="2" w:color="2E75B6"/>
        </w:pBdr>
      </w:pPr>
      <w:r>
        <w:t>Part C — Efficient Frontier and Point Selection</w:t>
      </w:r>
    </w:p>
    <w:p w14:paraId="17959A7F" w14:textId="77777777" w:rsidR="004045E4" w:rsidRDefault="007B35EA">
      <w:pPr>
        <w:spacing w:after="120" w:line="300" w:lineRule="auto"/>
        <w:jc w:val="both"/>
      </w:pPr>
      <w:r>
        <w:t xml:space="preserve">Using your CMEs from Part A, create a forecast efficient frontier in the free version of Portfolio Visualizer. Consider whether to apply any allocation constraints (e.g., minimum or maximum weights on specific asset classes). Paste a screenshot of your frontier in the placeholder below. Then select a point on the frontier that is consistent with the Taylors’ return objective and risk tolerance from their </w:t>
      </w:r>
      <w:proofErr w:type="gramStart"/>
      <w:r>
        <w:t>IPS, and</w:t>
      </w:r>
      <w:proofErr w:type="gramEnd"/>
      <w:r>
        <w:t xml:space="preserve"> describe the allocation at that point.</w:t>
      </w:r>
    </w:p>
    <w:p w14:paraId="6154BCD2" w14:textId="77777777" w:rsidR="004045E4" w:rsidRDefault="007B35EA">
      <w:pPr>
        <w:spacing w:before="120" w:after="40"/>
      </w:pPr>
      <w:r>
        <w:rPr>
          <w:b/>
          <w:bCs/>
          <w:color w:val="333333"/>
        </w:rPr>
        <w:t>Constraints applied to the optimization, and rationale (if no constraints were applied, state this and justify)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45E4" w14:paraId="6F0D0982"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ADCB775" w14:textId="1453CEFD" w:rsidR="004045E4" w:rsidRDefault="007B35EA">
            <w:pPr>
              <w:spacing w:after="40"/>
            </w:pPr>
            <w:r>
              <w:lastRenderedPageBreak/>
              <w:t xml:space="preserve"> </w:t>
            </w:r>
            <w:r w:rsidR="00726806">
              <w:t xml:space="preserve">I </w:t>
            </w:r>
            <w:proofErr w:type="gramStart"/>
            <w:r w:rsidR="00726806">
              <w:t>did</w:t>
            </w:r>
            <w:proofErr w:type="gramEnd"/>
            <w:r w:rsidR="00726806">
              <w:t xml:space="preserve"> some constraints on this because of diversification. </w:t>
            </w:r>
            <w:r w:rsidR="00726806" w:rsidRPr="00726806">
              <w:t>My caps: short-term Treasuries ≤10% and long-term Treasuries ≤10%, emerging markets ≤8% and commodities ≤5%</w:t>
            </w:r>
            <w:r w:rsidR="00726806">
              <w:t xml:space="preserve"> </w:t>
            </w:r>
            <w:r w:rsidR="00726806" w:rsidRPr="00726806">
              <w:t xml:space="preserve">real estate ≤10% (it behaves like equity per my Part B correlations, so I avoid double-counting equity risk), and per-sleeve equity caps (large ≤40%, mid ≤25%, small ≤15%, international ≤25%) to force </w:t>
            </w:r>
            <w:r w:rsidR="00726806">
              <w:t xml:space="preserve">some </w:t>
            </w:r>
            <w:r w:rsidR="00726806" w:rsidRPr="00726806">
              <w:t>diversification.</w:t>
            </w:r>
            <w:r w:rsidR="00726806">
              <w:t xml:space="preserve">  Also, I didn’t use historical returns and volatility, I put those in myself from Week 2 numbers. </w:t>
            </w:r>
          </w:p>
          <w:p w14:paraId="5076BDF3" w14:textId="77777777" w:rsidR="004045E4" w:rsidRDefault="007B35EA">
            <w:pPr>
              <w:spacing w:after="40"/>
            </w:pPr>
            <w:r>
              <w:t xml:space="preserve"> </w:t>
            </w:r>
          </w:p>
          <w:p w14:paraId="7661E0D3" w14:textId="77777777" w:rsidR="004045E4" w:rsidRDefault="007B35EA">
            <w:pPr>
              <w:spacing w:after="40"/>
            </w:pPr>
            <w:r>
              <w:t xml:space="preserve"> </w:t>
            </w:r>
          </w:p>
          <w:p w14:paraId="23FAFEC8" w14:textId="77777777" w:rsidR="004045E4" w:rsidRDefault="007B35EA">
            <w:pPr>
              <w:spacing w:after="40"/>
            </w:pPr>
            <w:r>
              <w:t xml:space="preserve"> </w:t>
            </w:r>
          </w:p>
        </w:tc>
      </w:tr>
    </w:tbl>
    <w:p w14:paraId="6232ABAC" w14:textId="77777777" w:rsidR="004045E4" w:rsidRDefault="007B35EA">
      <w:pPr>
        <w:spacing w:before="120" w:after="40"/>
      </w:pPr>
      <w:r>
        <w:rPr>
          <w:b/>
          <w:bCs/>
          <w:color w:val="333333"/>
        </w:rPr>
        <w:t>Efficient Frontier (screenshot from Portfolio Visualizer)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6"/>
      </w:tblGrid>
      <w:tr w:rsidR="004045E4" w14:paraId="623F4CED" w14:textId="77777777">
        <w:tc>
          <w:tcPr>
            <w:tcW w:w="9360" w:type="dxa"/>
            <w:tcBorders>
              <w:top w:val="dashed" w:sz="6" w:space="0" w:color="2E75B6"/>
              <w:left w:val="dashed" w:sz="6" w:space="0" w:color="2E75B6"/>
              <w:bottom w:val="dashed" w:sz="6" w:space="0" w:color="2E75B6"/>
              <w:right w:val="dashed" w:sz="6" w:space="0" w:color="2E75B6"/>
            </w:tcBorders>
            <w:shd w:val="clear" w:color="auto" w:fill="FAFAFA"/>
            <w:tcMar>
              <w:top w:w="140" w:type="dxa"/>
              <w:left w:w="180" w:type="dxa"/>
              <w:bottom w:w="140" w:type="dxa"/>
              <w:right w:w="180" w:type="dxa"/>
            </w:tcMar>
            <w:vAlign w:val="center"/>
          </w:tcPr>
          <w:p w14:paraId="4CF0D19B" w14:textId="77777777" w:rsidR="004045E4" w:rsidRDefault="007B35EA">
            <w:pPr>
              <w:spacing w:after="40"/>
            </w:pPr>
            <w:r>
              <w:t xml:space="preserve"> </w:t>
            </w:r>
          </w:p>
          <w:p w14:paraId="4DA60545" w14:textId="5DA3A61C" w:rsidR="004045E4" w:rsidRDefault="007B35EA">
            <w:pPr>
              <w:spacing w:after="40"/>
            </w:pPr>
            <w:r>
              <w:t xml:space="preserve"> </w:t>
            </w:r>
            <w:r w:rsidR="00726806" w:rsidRPr="00726806">
              <w:drawing>
                <wp:inline distT="0" distB="0" distL="0" distR="0" wp14:anchorId="6A28683F" wp14:editId="1E151BC6">
                  <wp:extent cx="6252358" cy="4418066"/>
                  <wp:effectExtent l="0" t="0" r="0" b="1905"/>
                  <wp:docPr id="366964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964762" name=""/>
                          <pic:cNvPicPr/>
                        </pic:nvPicPr>
                        <pic:blipFill>
                          <a:blip r:embed="rId7"/>
                          <a:stretch>
                            <a:fillRect/>
                          </a:stretch>
                        </pic:blipFill>
                        <pic:spPr>
                          <a:xfrm>
                            <a:off x="0" y="0"/>
                            <a:ext cx="6256527" cy="4421012"/>
                          </a:xfrm>
                          <a:prstGeom prst="rect">
                            <a:avLst/>
                          </a:prstGeom>
                        </pic:spPr>
                      </pic:pic>
                    </a:graphicData>
                  </a:graphic>
                </wp:inline>
              </w:drawing>
            </w:r>
          </w:p>
          <w:p w14:paraId="7524F95C" w14:textId="77777777" w:rsidR="004045E4" w:rsidRDefault="007B35EA">
            <w:pPr>
              <w:spacing w:after="40"/>
            </w:pPr>
            <w:r>
              <w:t xml:space="preserve"> </w:t>
            </w:r>
          </w:p>
          <w:p w14:paraId="267F41B3" w14:textId="77777777" w:rsidR="004045E4" w:rsidRDefault="007B35EA">
            <w:pPr>
              <w:spacing w:after="40"/>
            </w:pPr>
            <w:r>
              <w:t xml:space="preserve"> </w:t>
            </w:r>
          </w:p>
          <w:p w14:paraId="7B082C7E" w14:textId="56EB7316" w:rsidR="004045E4" w:rsidRDefault="007B35EA">
            <w:pPr>
              <w:spacing w:after="40"/>
            </w:pPr>
            <w:r>
              <w:t xml:space="preserve"> </w:t>
            </w:r>
            <w:r w:rsidR="00726806">
              <w:t xml:space="preserve">I will also paste it at the bottom of this assignment because that’s </w:t>
            </w:r>
            <w:proofErr w:type="gramStart"/>
            <w:r w:rsidR="00726806">
              <w:t>really small</w:t>
            </w:r>
            <w:proofErr w:type="gramEnd"/>
            <w:r w:rsidR="00726806">
              <w:t xml:space="preserve">. </w:t>
            </w:r>
          </w:p>
          <w:p w14:paraId="039FCE05" w14:textId="77777777" w:rsidR="004045E4" w:rsidRDefault="007B35EA">
            <w:pPr>
              <w:spacing w:after="40"/>
            </w:pPr>
            <w:r>
              <w:t xml:space="preserve"> </w:t>
            </w:r>
          </w:p>
          <w:p w14:paraId="24AF4D31" w14:textId="77777777" w:rsidR="004045E4" w:rsidRDefault="007B35EA">
            <w:pPr>
              <w:spacing w:after="40"/>
              <w:jc w:val="center"/>
            </w:pPr>
            <w:r>
              <w:rPr>
                <w:i/>
                <w:iCs/>
                <w:color w:val="7F7F7F"/>
              </w:rPr>
              <w:t>— Insert efficient frontier screenshot here —</w:t>
            </w:r>
          </w:p>
          <w:p w14:paraId="07F878CF" w14:textId="7680689D" w:rsidR="004045E4" w:rsidRDefault="004045E4">
            <w:pPr>
              <w:spacing w:after="40"/>
            </w:pPr>
          </w:p>
        </w:tc>
      </w:tr>
    </w:tbl>
    <w:p w14:paraId="317714FD" w14:textId="77777777" w:rsidR="004045E4" w:rsidRDefault="004045E4">
      <w:pPr>
        <w:spacing w:after="160"/>
      </w:pPr>
    </w:p>
    <w:p w14:paraId="406CEF2C" w14:textId="77777777" w:rsidR="004045E4" w:rsidRDefault="007B35EA">
      <w:pPr>
        <w:spacing w:before="120" w:after="40"/>
      </w:pPr>
      <w:r>
        <w:rPr>
          <w:b/>
          <w:bCs/>
          <w:color w:val="333333"/>
        </w:rPr>
        <w:lastRenderedPageBreak/>
        <w:t>Commentary on the frontier — does it look appropriate to use for the Taylors? Are there features that concern you or give you confidence?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45E4" w14:paraId="55776884"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E204CD8" w14:textId="77777777" w:rsidR="004045E4" w:rsidRDefault="007B35EA">
            <w:pPr>
              <w:spacing w:after="40"/>
            </w:pPr>
            <w:r>
              <w:t xml:space="preserve"> </w:t>
            </w:r>
          </w:p>
          <w:p w14:paraId="2830B67D" w14:textId="7D69C898" w:rsidR="004045E4" w:rsidRDefault="007B35EA">
            <w:pPr>
              <w:spacing w:after="40"/>
            </w:pPr>
            <w:r>
              <w:t xml:space="preserve"> </w:t>
            </w:r>
            <w:r w:rsidR="00726806">
              <w:t xml:space="preserve">This does look </w:t>
            </w:r>
            <w:r w:rsidR="00FF3F99">
              <w:t>appropriate</w:t>
            </w:r>
            <w:r w:rsidR="00726806">
              <w:t xml:space="preserve"> to use in the </w:t>
            </w:r>
            <w:r w:rsidR="00FF3F99">
              <w:t>Taylor</w:t>
            </w:r>
            <w:r w:rsidR="00726806">
              <w:t xml:space="preserve"> family case. This concerns me a little bit just because the graph </w:t>
            </w:r>
            <w:r w:rsidR="00FF3F99">
              <w:t>doesn’t show</w:t>
            </w:r>
            <w:r w:rsidR="00726806">
              <w:t xml:space="preserve"> very high returns, which is to be expected if bonds and safer </w:t>
            </w:r>
            <w:r w:rsidR="00FF3F99">
              <w:t>assets</w:t>
            </w:r>
            <w:r w:rsidR="00726806">
              <w:t xml:space="preserve"> are mixed in, with lower </w:t>
            </w:r>
            <w:r w:rsidR="00FF3F99">
              <w:t>volatility</w:t>
            </w:r>
            <w:r w:rsidR="00726806">
              <w:t xml:space="preserve">. I uncapped the small cap and the medium cap stock ETFs, and it had a lot more range on the return investment- but it carried a lot more </w:t>
            </w:r>
            <w:r w:rsidR="00FF3F99">
              <w:t>deviation</w:t>
            </w:r>
            <w:r w:rsidR="00726806">
              <w:t xml:space="preserve"> and risk, so </w:t>
            </w:r>
            <w:r w:rsidR="00FF3F99">
              <w:t xml:space="preserve">I capped them at the caps I defined above. </w:t>
            </w:r>
          </w:p>
          <w:p w14:paraId="6FD59FD7" w14:textId="77777777" w:rsidR="004045E4" w:rsidRDefault="007B35EA">
            <w:pPr>
              <w:spacing w:after="40"/>
            </w:pPr>
            <w:r>
              <w:t xml:space="preserve"> </w:t>
            </w:r>
          </w:p>
          <w:p w14:paraId="7161F16A" w14:textId="77777777" w:rsidR="004045E4" w:rsidRDefault="007B35EA">
            <w:pPr>
              <w:spacing w:after="40"/>
            </w:pPr>
            <w:r>
              <w:t xml:space="preserve"> </w:t>
            </w:r>
          </w:p>
        </w:tc>
      </w:tr>
    </w:tbl>
    <w:p w14:paraId="60F17747" w14:textId="77777777" w:rsidR="004045E4" w:rsidRDefault="007B35EA">
      <w:pPr>
        <w:spacing w:before="120" w:after="40"/>
      </w:pPr>
      <w:r>
        <w:rPr>
          <w:b/>
          <w:bCs/>
          <w:color w:val="333333"/>
        </w:rPr>
        <w:t>Selected point on the frontier for the Taylors — cite the expected return, standard deviation, and brief allocation summary. Explain why this point matches their IPS return objective and risk tolerance.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45E4" w14:paraId="0E6968E0"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A79CB24" w14:textId="77777777" w:rsidR="004045E4" w:rsidRDefault="007B35EA">
            <w:pPr>
              <w:spacing w:after="40"/>
            </w:pPr>
            <w:r>
              <w:t xml:space="preserve"> </w:t>
            </w:r>
          </w:p>
          <w:p w14:paraId="1D72F095" w14:textId="6352C252" w:rsidR="004045E4" w:rsidRDefault="007B35EA">
            <w:pPr>
              <w:spacing w:after="40"/>
            </w:pPr>
            <w:r>
              <w:t xml:space="preserve"> </w:t>
            </w:r>
            <w:r w:rsidR="00FF3F99">
              <w:t xml:space="preserve">I selected the 6.9% return point on the graph. 6.9% was their IPS return objective. This is around </w:t>
            </w:r>
            <w:r w:rsidR="00FF3F99" w:rsidRPr="00FF3F99">
              <w:t>~66% equity / ~32% fixed income</w:t>
            </w:r>
            <w:r w:rsidR="00FF3F99">
              <w:t xml:space="preserve">. </w:t>
            </w:r>
            <w:r w:rsidR="00FF3F99" w:rsidRPr="00FF3F99">
              <w:t>The</w:t>
            </w:r>
            <w:r w:rsidR="00FF3F99">
              <w:t xml:space="preserve"> Family’s</w:t>
            </w:r>
            <w:r w:rsidR="00FF3F99" w:rsidRPr="00FF3F99">
              <w:t xml:space="preserve"> ability to bear risk is high ($2.97M against a ~2.6% steady-state withdrawal, a ~33-year horizon, and a ~$131k pension + Social Security income floor), so they can absorb a 13.65% vol portfolio</w:t>
            </w:r>
            <w:r w:rsidR="00FF3F99">
              <w:t xml:space="preserve"> (which is the volatility with 6.9% average return). Also, they have stated that the max they can lose in one year is 25%, and this stays within that. </w:t>
            </w:r>
          </w:p>
          <w:p w14:paraId="5D844910" w14:textId="77777777" w:rsidR="004045E4" w:rsidRDefault="007B35EA">
            <w:pPr>
              <w:spacing w:after="40"/>
            </w:pPr>
            <w:r>
              <w:t xml:space="preserve"> </w:t>
            </w:r>
          </w:p>
          <w:p w14:paraId="36F3C8D9" w14:textId="77777777" w:rsidR="004045E4" w:rsidRDefault="007B35EA">
            <w:pPr>
              <w:spacing w:after="40"/>
            </w:pPr>
            <w:r>
              <w:t xml:space="preserve"> </w:t>
            </w:r>
          </w:p>
          <w:p w14:paraId="416D0519" w14:textId="77777777" w:rsidR="004045E4" w:rsidRDefault="007B35EA">
            <w:pPr>
              <w:spacing w:after="40"/>
            </w:pPr>
            <w:r>
              <w:t xml:space="preserve"> </w:t>
            </w:r>
          </w:p>
        </w:tc>
      </w:tr>
    </w:tbl>
    <w:p w14:paraId="7CE91637" w14:textId="77777777" w:rsidR="004045E4" w:rsidRDefault="007B35EA">
      <w:pPr>
        <w:pStyle w:val="Heading1"/>
        <w:pBdr>
          <w:bottom w:val="single" w:sz="8" w:space="2" w:color="2E75B6"/>
        </w:pBdr>
      </w:pPr>
      <w:r>
        <w:t>Part D — Recommended Allocation for the Taylors</w:t>
      </w:r>
    </w:p>
    <w:p w14:paraId="150628B4" w14:textId="77777777" w:rsidR="004045E4" w:rsidRDefault="007B35EA">
      <w:pPr>
        <w:spacing w:after="120" w:line="300" w:lineRule="auto"/>
        <w:jc w:val="both"/>
      </w:pPr>
      <w:r>
        <w:t>Translate your Part C frontier point into a recommended asset allocation using your professional judgment. You are not limited to the exact mix produced by the optimizer — you may adjust for sub-asset-class reasoning, client preferences (including any ESG considerations), behavioral factors, or practical constraints. You do not need to include every asset class; enter 0% for any asset class you choose to exclude. Where your recommendation differs from your Part C frontier point, explain why.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600"/>
      </w:tblGrid>
      <w:tr w:rsidR="004045E4" w14:paraId="01D315B2" w14:textId="77777777">
        <w:trPr>
          <w:tblHeader/>
        </w:trPr>
        <w:tc>
          <w:tcPr>
            <w:tcW w:w="576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28544A73" w14:textId="77777777" w:rsidR="004045E4" w:rsidRDefault="007B35EA">
            <w:r>
              <w:rPr>
                <w:b/>
                <w:bCs/>
                <w:color w:val="1F3864"/>
                <w:sz w:val="20"/>
                <w:szCs w:val="20"/>
              </w:rPr>
              <w:t>Asset Class</w:t>
            </w:r>
          </w:p>
        </w:tc>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44B8D513" w14:textId="77777777" w:rsidR="004045E4" w:rsidRDefault="007B35EA">
            <w:r>
              <w:rPr>
                <w:b/>
                <w:bCs/>
                <w:color w:val="1F3864"/>
                <w:sz w:val="20"/>
                <w:szCs w:val="20"/>
              </w:rPr>
              <w:t>Recommended Allocation (%)</w:t>
            </w:r>
          </w:p>
        </w:tc>
      </w:tr>
      <w:tr w:rsidR="004045E4" w14:paraId="4A134A96" w14:textId="77777777">
        <w:tc>
          <w:tcPr>
            <w:tcW w:w="57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19F3EE56" w14:textId="77777777" w:rsidR="004045E4" w:rsidRDefault="007B35EA">
            <w:r>
              <w:rPr>
                <w:sz w:val="20"/>
                <w:szCs w:val="20"/>
              </w:rPr>
              <w:t>Short-Term U.S. Treasuries</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E0B1437" w14:textId="4E12BC30" w:rsidR="004045E4" w:rsidRDefault="007B35EA">
            <w:r>
              <w:rPr>
                <w:sz w:val="20"/>
                <w:szCs w:val="20"/>
              </w:rPr>
              <w:t xml:space="preserve"> </w:t>
            </w:r>
            <w:r w:rsidR="001E03CC">
              <w:rPr>
                <w:sz w:val="20"/>
                <w:szCs w:val="20"/>
              </w:rPr>
              <w:t>2%</w:t>
            </w:r>
          </w:p>
        </w:tc>
      </w:tr>
      <w:tr w:rsidR="004045E4" w14:paraId="77D00810" w14:textId="77777777">
        <w:tc>
          <w:tcPr>
            <w:tcW w:w="57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12136B4" w14:textId="77777777" w:rsidR="004045E4" w:rsidRDefault="007B35EA">
            <w:r>
              <w:rPr>
                <w:sz w:val="20"/>
                <w:szCs w:val="20"/>
              </w:rPr>
              <w:t>Intermediate-Term U.S. Treasuries</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23C8BE7" w14:textId="3D61E883" w:rsidR="004045E4" w:rsidRDefault="007B35EA">
            <w:r>
              <w:rPr>
                <w:sz w:val="20"/>
                <w:szCs w:val="20"/>
              </w:rPr>
              <w:t xml:space="preserve"> </w:t>
            </w:r>
            <w:r w:rsidR="001E03CC">
              <w:rPr>
                <w:sz w:val="20"/>
                <w:szCs w:val="20"/>
              </w:rPr>
              <w:t>10%</w:t>
            </w:r>
          </w:p>
        </w:tc>
      </w:tr>
      <w:tr w:rsidR="004045E4" w14:paraId="19C9DC1B" w14:textId="77777777">
        <w:tc>
          <w:tcPr>
            <w:tcW w:w="57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2D24447" w14:textId="77777777" w:rsidR="004045E4" w:rsidRDefault="007B35EA">
            <w:r>
              <w:rPr>
                <w:sz w:val="20"/>
                <w:szCs w:val="20"/>
              </w:rPr>
              <w:t>Long-Term U.S. Treasuries</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7921203" w14:textId="7CB96627" w:rsidR="004045E4" w:rsidRDefault="007B35EA">
            <w:r>
              <w:rPr>
                <w:sz w:val="20"/>
                <w:szCs w:val="20"/>
              </w:rPr>
              <w:t xml:space="preserve"> </w:t>
            </w:r>
            <w:r w:rsidR="001E03CC">
              <w:rPr>
                <w:sz w:val="20"/>
                <w:szCs w:val="20"/>
              </w:rPr>
              <w:t>5%</w:t>
            </w:r>
          </w:p>
        </w:tc>
      </w:tr>
      <w:tr w:rsidR="004045E4" w14:paraId="7734F8BF" w14:textId="77777777">
        <w:tc>
          <w:tcPr>
            <w:tcW w:w="57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00DA836" w14:textId="77777777" w:rsidR="004045E4" w:rsidRDefault="007B35EA">
            <w:r>
              <w:rPr>
                <w:sz w:val="20"/>
                <w:szCs w:val="20"/>
              </w:rPr>
              <w:t>U.S. Corporate Bonds (intermediate to long term)</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6FB067E" w14:textId="6F90CE51" w:rsidR="004045E4" w:rsidRDefault="007B35EA">
            <w:r>
              <w:rPr>
                <w:sz w:val="20"/>
                <w:szCs w:val="20"/>
              </w:rPr>
              <w:t xml:space="preserve"> </w:t>
            </w:r>
            <w:r w:rsidR="001E03CC">
              <w:rPr>
                <w:sz w:val="20"/>
                <w:szCs w:val="20"/>
              </w:rPr>
              <w:t>12%</w:t>
            </w:r>
          </w:p>
        </w:tc>
      </w:tr>
      <w:tr w:rsidR="004045E4" w14:paraId="0356BCA1" w14:textId="77777777">
        <w:tc>
          <w:tcPr>
            <w:tcW w:w="57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637A395" w14:textId="77777777" w:rsidR="004045E4" w:rsidRDefault="007B35EA">
            <w:r>
              <w:rPr>
                <w:sz w:val="20"/>
                <w:szCs w:val="20"/>
              </w:rPr>
              <w:t>International Bonds</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F8B700E" w14:textId="2147E5D9" w:rsidR="004045E4" w:rsidRDefault="007B35EA">
            <w:r>
              <w:rPr>
                <w:sz w:val="20"/>
                <w:szCs w:val="20"/>
              </w:rPr>
              <w:t xml:space="preserve"> </w:t>
            </w:r>
            <w:r w:rsidR="001E03CC">
              <w:rPr>
                <w:sz w:val="20"/>
                <w:szCs w:val="20"/>
              </w:rPr>
              <w:t>0%</w:t>
            </w:r>
          </w:p>
        </w:tc>
      </w:tr>
      <w:tr w:rsidR="004045E4" w14:paraId="66BE07C7" w14:textId="77777777">
        <w:tc>
          <w:tcPr>
            <w:tcW w:w="57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18F2369" w14:textId="77777777" w:rsidR="004045E4" w:rsidRDefault="007B35EA">
            <w:r>
              <w:rPr>
                <w:sz w:val="20"/>
                <w:szCs w:val="20"/>
              </w:rPr>
              <w:t>Large-Cap U.S. Stocks</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B4E5274" w14:textId="5E498960" w:rsidR="004045E4" w:rsidRDefault="007B35EA">
            <w:r>
              <w:rPr>
                <w:sz w:val="20"/>
                <w:szCs w:val="20"/>
              </w:rPr>
              <w:t xml:space="preserve"> </w:t>
            </w:r>
            <w:r w:rsidR="001E03CC">
              <w:rPr>
                <w:sz w:val="20"/>
                <w:szCs w:val="20"/>
              </w:rPr>
              <w:t>25%</w:t>
            </w:r>
          </w:p>
        </w:tc>
      </w:tr>
      <w:tr w:rsidR="004045E4" w14:paraId="4D97F65E" w14:textId="77777777">
        <w:tc>
          <w:tcPr>
            <w:tcW w:w="57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33D3CC1" w14:textId="77777777" w:rsidR="004045E4" w:rsidRDefault="007B35EA">
            <w:r>
              <w:rPr>
                <w:sz w:val="20"/>
                <w:szCs w:val="20"/>
              </w:rPr>
              <w:t>Mid-Cap U.S. Stocks</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F507B52" w14:textId="46281605" w:rsidR="004045E4" w:rsidRDefault="007B35EA">
            <w:r>
              <w:rPr>
                <w:sz w:val="20"/>
                <w:szCs w:val="20"/>
              </w:rPr>
              <w:t xml:space="preserve"> </w:t>
            </w:r>
            <w:r w:rsidR="001E03CC">
              <w:rPr>
                <w:sz w:val="20"/>
                <w:szCs w:val="20"/>
              </w:rPr>
              <w:t>12%</w:t>
            </w:r>
          </w:p>
        </w:tc>
      </w:tr>
      <w:tr w:rsidR="004045E4" w14:paraId="42969177" w14:textId="77777777">
        <w:tc>
          <w:tcPr>
            <w:tcW w:w="57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9D35E78" w14:textId="77777777" w:rsidR="004045E4" w:rsidRDefault="007B35EA">
            <w:r>
              <w:rPr>
                <w:sz w:val="20"/>
                <w:szCs w:val="20"/>
              </w:rPr>
              <w:lastRenderedPageBreak/>
              <w:t>Small-Cap U.S. Stocks</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CDC1822" w14:textId="66B9B09D" w:rsidR="004045E4" w:rsidRDefault="007B35EA">
            <w:r>
              <w:rPr>
                <w:sz w:val="20"/>
                <w:szCs w:val="20"/>
              </w:rPr>
              <w:t xml:space="preserve"> </w:t>
            </w:r>
            <w:r w:rsidR="001E03CC">
              <w:rPr>
                <w:sz w:val="20"/>
                <w:szCs w:val="20"/>
              </w:rPr>
              <w:t>8%</w:t>
            </w:r>
          </w:p>
        </w:tc>
      </w:tr>
      <w:tr w:rsidR="004045E4" w14:paraId="2A1873A5" w14:textId="77777777">
        <w:tc>
          <w:tcPr>
            <w:tcW w:w="57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5575627" w14:textId="77777777" w:rsidR="004045E4" w:rsidRDefault="007B35EA">
            <w:r>
              <w:rPr>
                <w:sz w:val="20"/>
                <w:szCs w:val="20"/>
              </w:rPr>
              <w:t>International Developed-Market Stocks</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290DA6E" w14:textId="133B585D" w:rsidR="004045E4" w:rsidRDefault="007B35EA">
            <w:r>
              <w:rPr>
                <w:sz w:val="20"/>
                <w:szCs w:val="20"/>
              </w:rPr>
              <w:t xml:space="preserve"> </w:t>
            </w:r>
            <w:r w:rsidR="001E03CC">
              <w:rPr>
                <w:sz w:val="20"/>
                <w:szCs w:val="20"/>
              </w:rPr>
              <w:t>15%</w:t>
            </w:r>
          </w:p>
        </w:tc>
      </w:tr>
      <w:tr w:rsidR="004045E4" w14:paraId="6586C40F" w14:textId="77777777">
        <w:tc>
          <w:tcPr>
            <w:tcW w:w="57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71957F0" w14:textId="77777777" w:rsidR="004045E4" w:rsidRDefault="007B35EA">
            <w:r>
              <w:rPr>
                <w:sz w:val="20"/>
                <w:szCs w:val="20"/>
              </w:rPr>
              <w:t>Emerging-Markets Stocks</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24F413D" w14:textId="1829B617" w:rsidR="004045E4" w:rsidRDefault="007B35EA">
            <w:r>
              <w:rPr>
                <w:sz w:val="20"/>
                <w:szCs w:val="20"/>
              </w:rPr>
              <w:t xml:space="preserve"> </w:t>
            </w:r>
            <w:r w:rsidR="001E03CC">
              <w:rPr>
                <w:sz w:val="20"/>
                <w:szCs w:val="20"/>
              </w:rPr>
              <w:t>6%</w:t>
            </w:r>
          </w:p>
        </w:tc>
      </w:tr>
      <w:tr w:rsidR="004045E4" w14:paraId="39885BC2" w14:textId="77777777">
        <w:tc>
          <w:tcPr>
            <w:tcW w:w="57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E1C59DF" w14:textId="77777777" w:rsidR="004045E4" w:rsidRDefault="007B35EA">
            <w:r>
              <w:rPr>
                <w:sz w:val="20"/>
                <w:szCs w:val="20"/>
              </w:rPr>
              <w:t>Alternatives — Real Estate</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0B0CBD5" w14:textId="42DFA0D4" w:rsidR="004045E4" w:rsidRDefault="007B35EA">
            <w:r>
              <w:rPr>
                <w:sz w:val="20"/>
                <w:szCs w:val="20"/>
              </w:rPr>
              <w:t xml:space="preserve"> </w:t>
            </w:r>
            <w:r w:rsidR="001E03CC">
              <w:rPr>
                <w:sz w:val="20"/>
                <w:szCs w:val="20"/>
              </w:rPr>
              <w:t>5%</w:t>
            </w:r>
          </w:p>
        </w:tc>
      </w:tr>
      <w:tr w:rsidR="004045E4" w14:paraId="42526333" w14:textId="77777777">
        <w:tc>
          <w:tcPr>
            <w:tcW w:w="57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F34EFDA" w14:textId="77777777" w:rsidR="004045E4" w:rsidRDefault="007B35EA">
            <w:r>
              <w:rPr>
                <w:sz w:val="20"/>
                <w:szCs w:val="20"/>
              </w:rPr>
              <w:t>Alternatives — Commodities</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CE257E2" w14:textId="648E51A9" w:rsidR="004045E4" w:rsidRDefault="007B35EA">
            <w:r>
              <w:rPr>
                <w:sz w:val="20"/>
                <w:szCs w:val="20"/>
              </w:rPr>
              <w:t xml:space="preserve"> </w:t>
            </w:r>
            <w:r w:rsidR="001E03CC">
              <w:rPr>
                <w:sz w:val="20"/>
                <w:szCs w:val="20"/>
              </w:rPr>
              <w:t>0%</w:t>
            </w:r>
          </w:p>
        </w:tc>
      </w:tr>
      <w:tr w:rsidR="004045E4" w14:paraId="66E81E75" w14:textId="77777777">
        <w:tc>
          <w:tcPr>
            <w:tcW w:w="5760" w:type="dxa"/>
            <w:tcBorders>
              <w:top w:val="single" w:sz="12" w:space="0" w:color="2E75B6"/>
              <w:left w:val="single" w:sz="4" w:space="0" w:color="BFBFBF"/>
              <w:bottom w:val="single" w:sz="4" w:space="0" w:color="BFBFBF"/>
              <w:right w:val="single" w:sz="4" w:space="0" w:color="BFBFBF"/>
            </w:tcBorders>
            <w:shd w:val="clear" w:color="auto" w:fill="D9E2F3"/>
            <w:tcMar>
              <w:top w:w="100" w:type="dxa"/>
              <w:left w:w="140" w:type="dxa"/>
              <w:bottom w:w="100" w:type="dxa"/>
              <w:right w:w="140" w:type="dxa"/>
            </w:tcMar>
          </w:tcPr>
          <w:p w14:paraId="6DB47D28" w14:textId="77777777" w:rsidR="004045E4" w:rsidRDefault="007B35EA">
            <w:r>
              <w:rPr>
                <w:b/>
                <w:bCs/>
                <w:color w:val="1F3864"/>
                <w:sz w:val="20"/>
                <w:szCs w:val="20"/>
              </w:rPr>
              <w:t>TOTAL (must equal 100%)</w:t>
            </w:r>
          </w:p>
        </w:tc>
        <w:tc>
          <w:tcPr>
            <w:tcW w:w="3600" w:type="dxa"/>
            <w:tcBorders>
              <w:top w:val="single" w:sz="12" w:space="0" w:color="2E75B6"/>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0325B5F" w14:textId="12305DE2" w:rsidR="004045E4" w:rsidRDefault="007B35EA">
            <w:r>
              <w:rPr>
                <w:sz w:val="20"/>
                <w:szCs w:val="20"/>
              </w:rPr>
              <w:t xml:space="preserve"> </w:t>
            </w:r>
            <w:r w:rsidR="001E03CC">
              <w:rPr>
                <w:sz w:val="20"/>
                <w:szCs w:val="20"/>
              </w:rPr>
              <w:t>100%</w:t>
            </w:r>
          </w:p>
        </w:tc>
      </w:tr>
    </w:tbl>
    <w:p w14:paraId="71E54B43" w14:textId="77777777" w:rsidR="004045E4" w:rsidRDefault="004045E4">
      <w:pPr>
        <w:spacing w:after="160"/>
      </w:pPr>
    </w:p>
    <w:p w14:paraId="0485449A" w14:textId="77777777" w:rsidR="004045E4" w:rsidRDefault="007B35EA">
      <w:pPr>
        <w:spacing w:before="120" w:after="40"/>
      </w:pPr>
      <w:r>
        <w:rPr>
          <w:b/>
          <w:bCs/>
          <w:color w:val="333333"/>
        </w:rPr>
        <w:t>Subtotals and Expected Return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600"/>
      </w:tblGrid>
      <w:tr w:rsidR="004045E4" w14:paraId="4466FFD3" w14:textId="77777777">
        <w:trPr>
          <w:tblHeader/>
        </w:trPr>
        <w:tc>
          <w:tcPr>
            <w:tcW w:w="57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40" w:type="dxa"/>
              <w:bottom w:w="80" w:type="dxa"/>
              <w:right w:w="140" w:type="dxa"/>
            </w:tcMar>
          </w:tcPr>
          <w:p w14:paraId="07A573C8" w14:textId="77777777" w:rsidR="004045E4" w:rsidRDefault="007B35EA">
            <w:r>
              <w:rPr>
                <w:b/>
                <w:bCs/>
                <w:color w:val="1F3864"/>
                <w:sz w:val="20"/>
                <w:szCs w:val="20"/>
              </w:rPr>
              <w:t>Metric</w:t>
            </w:r>
          </w:p>
        </w:tc>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40" w:type="dxa"/>
              <w:bottom w:w="80" w:type="dxa"/>
              <w:right w:w="140" w:type="dxa"/>
            </w:tcMar>
          </w:tcPr>
          <w:p w14:paraId="71577D18" w14:textId="77777777" w:rsidR="004045E4" w:rsidRDefault="007B35EA">
            <w:r>
              <w:rPr>
                <w:b/>
                <w:bCs/>
                <w:color w:val="1F3864"/>
                <w:sz w:val="20"/>
                <w:szCs w:val="20"/>
              </w:rPr>
              <w:t>Value</w:t>
            </w:r>
          </w:p>
        </w:tc>
      </w:tr>
      <w:tr w:rsidR="004045E4" w14:paraId="5D22496C" w14:textId="77777777">
        <w:tc>
          <w:tcPr>
            <w:tcW w:w="57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E71101A" w14:textId="77777777" w:rsidR="004045E4" w:rsidRDefault="007B35EA">
            <w:r>
              <w:rPr>
                <w:color w:val="000000"/>
                <w:sz w:val="20"/>
                <w:szCs w:val="20"/>
              </w:rPr>
              <w:t>Fixed Income Subtotal</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283961B" w14:textId="1920963D" w:rsidR="004045E4" w:rsidRDefault="007B35EA">
            <w:r>
              <w:rPr>
                <w:color w:val="000000"/>
                <w:sz w:val="20"/>
                <w:szCs w:val="20"/>
              </w:rPr>
              <w:t xml:space="preserve"> </w:t>
            </w:r>
            <w:r w:rsidR="001E03CC">
              <w:rPr>
                <w:color w:val="000000"/>
                <w:sz w:val="20"/>
                <w:szCs w:val="20"/>
              </w:rPr>
              <w:t>29%</w:t>
            </w:r>
          </w:p>
        </w:tc>
      </w:tr>
      <w:tr w:rsidR="004045E4" w14:paraId="6D2F36DF" w14:textId="77777777">
        <w:tc>
          <w:tcPr>
            <w:tcW w:w="57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767963F" w14:textId="77777777" w:rsidR="004045E4" w:rsidRDefault="007B35EA">
            <w:r>
              <w:rPr>
                <w:color w:val="000000"/>
                <w:sz w:val="20"/>
                <w:szCs w:val="20"/>
              </w:rPr>
              <w:t>Equities Subtotal</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BFB927B" w14:textId="1B2C9A1A" w:rsidR="004045E4" w:rsidRDefault="007B35EA">
            <w:r>
              <w:rPr>
                <w:color w:val="000000"/>
                <w:sz w:val="20"/>
                <w:szCs w:val="20"/>
              </w:rPr>
              <w:t xml:space="preserve"> </w:t>
            </w:r>
            <w:r w:rsidR="001E03CC">
              <w:rPr>
                <w:color w:val="000000"/>
                <w:sz w:val="20"/>
                <w:szCs w:val="20"/>
              </w:rPr>
              <w:t>66%</w:t>
            </w:r>
          </w:p>
        </w:tc>
      </w:tr>
      <w:tr w:rsidR="004045E4" w14:paraId="7C07CD44" w14:textId="77777777">
        <w:tc>
          <w:tcPr>
            <w:tcW w:w="57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7590013" w14:textId="77777777" w:rsidR="004045E4" w:rsidRDefault="007B35EA">
            <w:r>
              <w:rPr>
                <w:color w:val="000000"/>
                <w:sz w:val="20"/>
                <w:szCs w:val="20"/>
              </w:rPr>
              <w:t>Alternatives Subtotal</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C64A481" w14:textId="1DF6ABE1" w:rsidR="004045E4" w:rsidRDefault="007B35EA">
            <w:r>
              <w:rPr>
                <w:color w:val="000000"/>
                <w:sz w:val="20"/>
                <w:szCs w:val="20"/>
              </w:rPr>
              <w:t xml:space="preserve"> </w:t>
            </w:r>
            <w:r w:rsidR="001E03CC">
              <w:rPr>
                <w:color w:val="000000"/>
                <w:sz w:val="20"/>
                <w:szCs w:val="20"/>
              </w:rPr>
              <w:t>5%</w:t>
            </w:r>
          </w:p>
        </w:tc>
      </w:tr>
      <w:tr w:rsidR="004045E4" w14:paraId="0DD7B594" w14:textId="77777777">
        <w:tc>
          <w:tcPr>
            <w:tcW w:w="5760" w:type="dxa"/>
            <w:tcBorders>
              <w:top w:val="single" w:sz="12" w:space="0" w:color="2E75B6"/>
              <w:left w:val="single" w:sz="4" w:space="0" w:color="BFBFBF"/>
              <w:bottom w:val="single" w:sz="4" w:space="0" w:color="BFBFBF"/>
              <w:right w:val="single" w:sz="4" w:space="0" w:color="BFBFBF"/>
            </w:tcBorders>
            <w:shd w:val="clear" w:color="auto" w:fill="D9E2F3"/>
            <w:tcMar>
              <w:top w:w="80" w:type="dxa"/>
              <w:left w:w="140" w:type="dxa"/>
              <w:bottom w:w="80" w:type="dxa"/>
              <w:right w:w="140" w:type="dxa"/>
            </w:tcMar>
          </w:tcPr>
          <w:p w14:paraId="525A92D4" w14:textId="77777777" w:rsidR="004045E4" w:rsidRDefault="007B35EA">
            <w:r>
              <w:rPr>
                <w:b/>
                <w:bCs/>
                <w:color w:val="1F3864"/>
                <w:sz w:val="20"/>
                <w:szCs w:val="20"/>
              </w:rPr>
              <w:t>Total (must equal 100%)</w:t>
            </w:r>
          </w:p>
        </w:tc>
        <w:tc>
          <w:tcPr>
            <w:tcW w:w="3600" w:type="dxa"/>
            <w:tcBorders>
              <w:top w:val="single" w:sz="12" w:space="0" w:color="2E75B6"/>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7BFA2DB" w14:textId="77777777" w:rsidR="004045E4" w:rsidRDefault="007B35EA">
            <w:r>
              <w:rPr>
                <w:color w:val="000000"/>
                <w:sz w:val="20"/>
                <w:szCs w:val="20"/>
              </w:rPr>
              <w:t xml:space="preserve"> </w:t>
            </w:r>
          </w:p>
        </w:tc>
      </w:tr>
      <w:tr w:rsidR="004045E4" w14:paraId="5BE6CCC0" w14:textId="77777777">
        <w:tc>
          <w:tcPr>
            <w:tcW w:w="57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75DB8B9" w14:textId="77777777" w:rsidR="004045E4" w:rsidRDefault="007B35EA">
            <w:r>
              <w:rPr>
                <w:color w:val="000000"/>
                <w:sz w:val="20"/>
                <w:szCs w:val="20"/>
              </w:rPr>
              <w:t>Expected Portfolio Return (from Part A CMEs)</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1844F66" w14:textId="4097E345" w:rsidR="004045E4" w:rsidRDefault="007B35EA">
            <w:r>
              <w:rPr>
                <w:color w:val="000000"/>
                <w:sz w:val="20"/>
                <w:szCs w:val="20"/>
              </w:rPr>
              <w:t xml:space="preserve"> </w:t>
            </w:r>
            <w:r w:rsidR="001E03CC">
              <w:rPr>
                <w:color w:val="000000"/>
                <w:sz w:val="20"/>
                <w:szCs w:val="20"/>
              </w:rPr>
              <w:t>6.5%</w:t>
            </w:r>
          </w:p>
        </w:tc>
      </w:tr>
    </w:tbl>
    <w:p w14:paraId="4049D3A4" w14:textId="77777777" w:rsidR="004045E4" w:rsidRDefault="004045E4">
      <w:pPr>
        <w:spacing w:after="160"/>
      </w:pPr>
    </w:p>
    <w:p w14:paraId="6B491803" w14:textId="77777777" w:rsidR="004045E4" w:rsidRDefault="007B35EA">
      <w:pPr>
        <w:spacing w:before="120" w:after="40"/>
      </w:pPr>
      <w:r>
        <w:rPr>
          <w:b/>
          <w:bCs/>
          <w:color w:val="333333"/>
        </w:rPr>
        <w:t>Justification of the recommended allocation — address (a) how it meets the Taylors’ return objective, (b) how it fits their risk tolerance, and (c) why and how it differs from the Part C frontier point, if it does.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45E4" w14:paraId="2CFEC843"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E2B1855" w14:textId="77777777" w:rsidR="004045E4" w:rsidRDefault="007B35EA">
            <w:pPr>
              <w:spacing w:after="40"/>
            </w:pPr>
            <w:r>
              <w:t xml:space="preserve"> </w:t>
            </w:r>
          </w:p>
          <w:p w14:paraId="390074E0" w14:textId="0010C11B" w:rsidR="001E03CC" w:rsidRDefault="00601E69" w:rsidP="001E03CC">
            <w:pPr>
              <w:spacing w:after="40"/>
            </w:pPr>
            <w:r>
              <w:t xml:space="preserve">       </w:t>
            </w:r>
            <w:r w:rsidR="001E03CC">
              <w:t>Th</w:t>
            </w:r>
            <w:r w:rsidR="001E03CC">
              <w:t>is</w:t>
            </w:r>
            <w:r w:rsidR="001E03CC">
              <w:t xml:space="preserve"> portfolio has an expected return of about 6.5% from my Part A CMEs. This sits just below the 6.9% required return I </w:t>
            </w:r>
            <w:r w:rsidR="001E03CC">
              <w:t xml:space="preserve">got </w:t>
            </w:r>
            <w:r w:rsidR="001E03CC">
              <w:t>in Week 1, but that figure carried a deliberate conservatism buffer</w:t>
            </w:r>
            <w:r w:rsidR="001E03CC">
              <w:t xml:space="preserve">. </w:t>
            </w:r>
            <w:r>
              <w:t>This is what I am thinking</w:t>
            </w:r>
            <w:r w:rsidR="001E03CC">
              <w:t>: at ~6.5% nominal</w:t>
            </w:r>
            <w:r>
              <w:t>, and</w:t>
            </w:r>
            <w:r w:rsidR="001E03CC">
              <w:t xml:space="preserve"> 2.5% inflation, the portfolio earns roughly 4% real against a steady-state withdrawal of only ~2.6%, so once Social Security begins</w:t>
            </w:r>
            <w:r>
              <w:t>,</w:t>
            </w:r>
            <w:r w:rsidR="001E03CC">
              <w:t xml:space="preserve"> it grows while funding the $180k lifestyle, the renovation, the 529s, and the legacy. The plan is funded with margin.</w:t>
            </w:r>
          </w:p>
          <w:p w14:paraId="5C5AA7AE" w14:textId="77777777" w:rsidR="00601E69" w:rsidRDefault="00601E69" w:rsidP="001E03CC">
            <w:pPr>
              <w:spacing w:after="40"/>
            </w:pPr>
          </w:p>
          <w:p w14:paraId="6190774F" w14:textId="7BD7A3B8" w:rsidR="001E03CC" w:rsidRDefault="00601E69" w:rsidP="001E03CC">
            <w:pPr>
              <w:spacing w:after="40"/>
            </w:pPr>
            <w:r>
              <w:t xml:space="preserve">       For </w:t>
            </w:r>
            <w:r w:rsidR="001E03CC">
              <w:t>Risk tolerance</w:t>
            </w:r>
            <w:r>
              <w:t>-</w:t>
            </w:r>
            <w:r w:rsidR="001E03CC">
              <w:t xml:space="preserve"> At 66% equity, the allocation falls inside the 65–75% (C/D) band the Taylors flagged as comfortable, and the 66/29/5 split maps almost exactly to model portfolio C. Its volatility (~12.9%) is </w:t>
            </w:r>
            <w:proofErr w:type="gramStart"/>
            <w:r w:rsidR="001E03CC">
              <w:t>actually slightly</w:t>
            </w:r>
            <w:proofErr w:type="gramEnd"/>
            <w:r w:rsidR="001E03CC">
              <w:t xml:space="preserve"> lower than my Part C frontier point, and a roughly 1-in-100 bad year is about 23.5%</w:t>
            </w:r>
            <w:r>
              <w:t xml:space="preserve">, well </w:t>
            </w:r>
            <w:r w:rsidR="001E03CC">
              <w:t>inside their stated 25% maximum-loss limit</w:t>
            </w:r>
            <w:r>
              <w:t>.</w:t>
            </w:r>
            <w:r w:rsidR="001E03CC">
              <w:t xml:space="preserve"> The 29% bond sleeve, weighted toward intermediate Treasuries, gives Lisa downside protection and covers near-term spending, balancing her stability preference against Mark's appetite for growth.</w:t>
            </w:r>
          </w:p>
          <w:p w14:paraId="09193925" w14:textId="77777777" w:rsidR="00601E69" w:rsidRDefault="00601E69" w:rsidP="001E03CC">
            <w:pPr>
              <w:spacing w:after="40"/>
            </w:pPr>
          </w:p>
          <w:p w14:paraId="06516ECB" w14:textId="3BE617DD" w:rsidR="004045E4" w:rsidRDefault="00601E69" w:rsidP="001E03CC">
            <w:pPr>
              <w:spacing w:after="40"/>
            </w:pPr>
            <w:r>
              <w:t xml:space="preserve">       For d</w:t>
            </w:r>
            <w:r w:rsidR="001E03CC">
              <w:t>ifferences from the Part C frontier point</w:t>
            </w:r>
            <w:r>
              <w:t>,</w:t>
            </w:r>
            <w:r w:rsidR="001E03CC">
              <w:t xml:space="preserve"> I made five changes: I added a 25% large-cap U.S. core (the optimizer zeroed it only because my CMEs assigned large-cap the lowest equity return, </w:t>
            </w:r>
            <w:r>
              <w:t>but I think it’s essential to include</w:t>
            </w:r>
            <w:r w:rsidR="001E03CC">
              <w:t xml:space="preserve">); I trimmed the optimizer's constraint-driven </w:t>
            </w:r>
            <w:r>
              <w:t>overweight’s</w:t>
            </w:r>
            <w:r w:rsidR="001E03CC">
              <w:t xml:space="preserve"> in international developed </w:t>
            </w:r>
            <w:r>
              <w:t xml:space="preserve">fund from </w:t>
            </w:r>
            <w:r w:rsidR="001E03CC">
              <w:t>25%</w:t>
            </w:r>
            <w:r>
              <w:t xml:space="preserve"> to </w:t>
            </w:r>
            <w:r w:rsidR="001E03CC">
              <w:t xml:space="preserve">15%, and mid-cap </w:t>
            </w:r>
            <w:r>
              <w:t xml:space="preserve">stocks from </w:t>
            </w:r>
            <w:r w:rsidR="001E03CC">
              <w:t>22%</w:t>
            </w:r>
            <w:r>
              <w:t xml:space="preserve"> </w:t>
            </w:r>
            <w:r>
              <w:lastRenderedPageBreak/>
              <w:t xml:space="preserve">to </w:t>
            </w:r>
            <w:r w:rsidR="001E03CC">
              <w:t>12%; I</w:t>
            </w:r>
            <w:r>
              <w:t xml:space="preserve"> decreased </w:t>
            </w:r>
            <w:r w:rsidR="001E03CC">
              <w:t xml:space="preserve">emerging markets (8%→6%) for Lisa's comfort; </w:t>
            </w:r>
            <w:r>
              <w:t xml:space="preserve">(since its pretty risky). </w:t>
            </w:r>
            <w:r w:rsidR="001E03CC">
              <w:t xml:space="preserve">I added a 5% real-estate </w:t>
            </w:r>
            <w:r>
              <w:t xml:space="preserve">position </w:t>
            </w:r>
            <w:r w:rsidR="001E03CC">
              <w:t xml:space="preserve">for income and inflation protection given Mark's non-indexed pension; and I laddered the bond </w:t>
            </w:r>
            <w:r>
              <w:t xml:space="preserve">position </w:t>
            </w:r>
            <w:r w:rsidR="001E03CC">
              <w:t xml:space="preserve">for liquidity and lower duration risk. The net effect is a slightly lower expected return (6.5% vs. 6.9%) in exchange for slightly lower volatility, better diversification, and a portfolio that is </w:t>
            </w:r>
            <w:proofErr w:type="gramStart"/>
            <w:r w:rsidR="001E03CC">
              <w:t>actually implementable</w:t>
            </w:r>
            <w:proofErr w:type="gramEnd"/>
            <w:r w:rsidR="001E03CC">
              <w:t xml:space="preserve"> and behaviorally appropriate for these clients.</w:t>
            </w:r>
            <w:r>
              <w:t xml:space="preserve"> With large cap added in, the portfolio might perform better than the 6.5% figure, but </w:t>
            </w:r>
            <w:proofErr w:type="gramStart"/>
            <w:r>
              <w:t>overall</w:t>
            </w:r>
            <w:proofErr w:type="gramEnd"/>
            <w:r>
              <w:t xml:space="preserve"> this portfolio is better than the 6.9% one just because of the lower risk level. </w:t>
            </w:r>
          </w:p>
          <w:p w14:paraId="7D14033C" w14:textId="77777777" w:rsidR="004045E4" w:rsidRDefault="007B35EA">
            <w:pPr>
              <w:spacing w:after="40"/>
            </w:pPr>
            <w:r>
              <w:t xml:space="preserve"> </w:t>
            </w:r>
          </w:p>
          <w:p w14:paraId="03CD1C6C" w14:textId="77777777" w:rsidR="004045E4" w:rsidRDefault="007B35EA">
            <w:pPr>
              <w:spacing w:after="40"/>
            </w:pPr>
            <w:r>
              <w:t xml:space="preserve"> </w:t>
            </w:r>
          </w:p>
          <w:p w14:paraId="6EC80604" w14:textId="77777777" w:rsidR="004045E4" w:rsidRDefault="007B35EA">
            <w:pPr>
              <w:spacing w:after="40"/>
            </w:pPr>
            <w:r>
              <w:t xml:space="preserve"> </w:t>
            </w:r>
          </w:p>
          <w:p w14:paraId="0A9BBCCB" w14:textId="77777777" w:rsidR="004045E4" w:rsidRDefault="007B35EA">
            <w:pPr>
              <w:spacing w:after="40"/>
            </w:pPr>
            <w:r>
              <w:t xml:space="preserve"> </w:t>
            </w:r>
          </w:p>
          <w:p w14:paraId="13A67C9C" w14:textId="77777777" w:rsidR="004045E4" w:rsidRDefault="007B35EA">
            <w:pPr>
              <w:spacing w:after="40"/>
            </w:pPr>
            <w:r>
              <w:t xml:space="preserve"> </w:t>
            </w:r>
          </w:p>
          <w:p w14:paraId="75071D5F" w14:textId="77777777" w:rsidR="004045E4" w:rsidRDefault="007B35EA">
            <w:pPr>
              <w:spacing w:after="40"/>
            </w:pPr>
            <w:r>
              <w:t xml:space="preserve"> </w:t>
            </w:r>
          </w:p>
        </w:tc>
      </w:tr>
      <w:tr w:rsidR="00601E69" w14:paraId="236DE168"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D96209D" w14:textId="77777777" w:rsidR="00601E69" w:rsidRDefault="00601E69">
            <w:pPr>
              <w:spacing w:after="40"/>
            </w:pPr>
          </w:p>
        </w:tc>
      </w:tr>
    </w:tbl>
    <w:p w14:paraId="45558AD5" w14:textId="77777777" w:rsidR="007B35EA" w:rsidRDefault="007B35EA"/>
    <w:p w14:paraId="34D97E3A" w14:textId="77777777" w:rsidR="00726806" w:rsidRDefault="00726806"/>
    <w:p w14:paraId="332CBBA7" w14:textId="77777777" w:rsidR="00726806" w:rsidRDefault="00726806"/>
    <w:p w14:paraId="4C512DF0" w14:textId="77777777" w:rsidR="00726806" w:rsidRDefault="00726806"/>
    <w:p w14:paraId="291850F5" w14:textId="77777777" w:rsidR="00726806" w:rsidRDefault="00726806"/>
    <w:p w14:paraId="3AC17DAA" w14:textId="77777777" w:rsidR="00726806" w:rsidRDefault="00726806"/>
    <w:p w14:paraId="6570D871" w14:textId="77777777" w:rsidR="00726806" w:rsidRDefault="00726806"/>
    <w:p w14:paraId="03317DE9" w14:textId="77777777" w:rsidR="00726806" w:rsidRDefault="00726806"/>
    <w:p w14:paraId="7ABC6F18" w14:textId="77777777" w:rsidR="00726806" w:rsidRDefault="00726806"/>
    <w:p w14:paraId="32BEF924" w14:textId="06D8A908" w:rsidR="00726806" w:rsidRDefault="00726806">
      <w:r w:rsidRPr="00726806">
        <w:lastRenderedPageBreak/>
        <w:drawing>
          <wp:inline distT="0" distB="0" distL="0" distR="0" wp14:anchorId="40D94C22" wp14:editId="742A9C66">
            <wp:extent cx="9165689" cy="6476696"/>
            <wp:effectExtent l="0" t="7938" r="8573" b="8572"/>
            <wp:docPr id="1220568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568388" name=""/>
                    <pic:cNvPicPr/>
                  </pic:nvPicPr>
                  <pic:blipFill>
                    <a:blip r:embed="rId7"/>
                    <a:stretch>
                      <a:fillRect/>
                    </a:stretch>
                  </pic:blipFill>
                  <pic:spPr>
                    <a:xfrm rot="5400000">
                      <a:off x="0" y="0"/>
                      <a:ext cx="9199829" cy="6500820"/>
                    </a:xfrm>
                    <a:prstGeom prst="rect">
                      <a:avLst/>
                    </a:prstGeom>
                  </pic:spPr>
                </pic:pic>
              </a:graphicData>
            </a:graphic>
          </wp:inline>
        </w:drawing>
      </w:r>
    </w:p>
    <w:sectPr w:rsidR="0072680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3D28D" w14:textId="77777777" w:rsidR="005B2C58" w:rsidRDefault="005B2C58">
      <w:r>
        <w:separator/>
      </w:r>
    </w:p>
  </w:endnote>
  <w:endnote w:type="continuationSeparator" w:id="0">
    <w:p w14:paraId="7F4C7B2D" w14:textId="77777777" w:rsidR="005B2C58" w:rsidRDefault="005B2C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3E5AF" w14:textId="77777777" w:rsidR="004045E4" w:rsidRDefault="007B35EA">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4A5839">
      <w:rPr>
        <w:noProof/>
        <w:color w:val="7F7F7F"/>
        <w:sz w:val="18"/>
        <w:szCs w:val="18"/>
      </w:rPr>
      <w:t>1</w:t>
    </w:r>
    <w:r>
      <w:rPr>
        <w:color w:val="7F7F7F"/>
        <w:sz w:val="18"/>
        <w:szCs w:val="18"/>
      </w:rPr>
      <w:fldChar w:fldCharType="end"/>
    </w:r>
    <w:r>
      <w:rPr>
        <w:color w:val="7F7F7F"/>
        <w:sz w:val="18"/>
        <w:szCs w:val="18"/>
      </w:rPr>
      <w:t xml:space="preserve"> of </w:t>
    </w:r>
    <w:r>
      <w:rPr>
        <w:color w:val="7F7F7F"/>
        <w:sz w:val="18"/>
        <w:szCs w:val="18"/>
      </w:rPr>
      <w:fldChar w:fldCharType="begin"/>
    </w:r>
    <w:r>
      <w:rPr>
        <w:color w:val="7F7F7F"/>
        <w:sz w:val="18"/>
        <w:szCs w:val="18"/>
      </w:rPr>
      <w:instrText>NUMPAGES</w:instrText>
    </w:r>
    <w:r>
      <w:rPr>
        <w:color w:val="7F7F7F"/>
        <w:sz w:val="18"/>
        <w:szCs w:val="18"/>
      </w:rPr>
      <w:fldChar w:fldCharType="separate"/>
    </w:r>
    <w:r w:rsidR="004A5839">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55F66" w14:textId="77777777" w:rsidR="005B2C58" w:rsidRDefault="005B2C58">
      <w:r>
        <w:separator/>
      </w:r>
    </w:p>
  </w:footnote>
  <w:footnote w:type="continuationSeparator" w:id="0">
    <w:p w14:paraId="4DFB744F" w14:textId="77777777" w:rsidR="005B2C58" w:rsidRDefault="005B2C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96FD5" w14:textId="77777777" w:rsidR="004045E4" w:rsidRDefault="007B35EA">
    <w:pPr>
      <w:jc w:val="right"/>
    </w:pPr>
    <w:r>
      <w:rPr>
        <w:i/>
        <w:iCs/>
        <w:color w:val="7F7F7F"/>
        <w:sz w:val="18"/>
        <w:szCs w:val="18"/>
      </w:rPr>
      <w:t>FIN 540 — Case Study Week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753C8"/>
    <w:multiLevelType w:val="hybridMultilevel"/>
    <w:tmpl w:val="D2EE8DC2"/>
    <w:lvl w:ilvl="0" w:tplc="D5608164">
      <w:start w:val="1"/>
      <w:numFmt w:val="bullet"/>
      <w:lvlText w:val="•"/>
      <w:lvlJc w:val="left"/>
      <w:pPr>
        <w:ind w:left="720" w:hanging="360"/>
      </w:pPr>
    </w:lvl>
    <w:lvl w:ilvl="1" w:tplc="68DE7676">
      <w:numFmt w:val="decimal"/>
      <w:lvlText w:val=""/>
      <w:lvlJc w:val="left"/>
    </w:lvl>
    <w:lvl w:ilvl="2" w:tplc="F34EACF8">
      <w:numFmt w:val="decimal"/>
      <w:lvlText w:val=""/>
      <w:lvlJc w:val="left"/>
    </w:lvl>
    <w:lvl w:ilvl="3" w:tplc="3356DA48">
      <w:numFmt w:val="decimal"/>
      <w:lvlText w:val=""/>
      <w:lvlJc w:val="left"/>
    </w:lvl>
    <w:lvl w:ilvl="4" w:tplc="96941B64">
      <w:numFmt w:val="decimal"/>
      <w:lvlText w:val=""/>
      <w:lvlJc w:val="left"/>
    </w:lvl>
    <w:lvl w:ilvl="5" w:tplc="19762598">
      <w:numFmt w:val="decimal"/>
      <w:lvlText w:val=""/>
      <w:lvlJc w:val="left"/>
    </w:lvl>
    <w:lvl w:ilvl="6" w:tplc="C24ED4B6">
      <w:numFmt w:val="decimal"/>
      <w:lvlText w:val=""/>
      <w:lvlJc w:val="left"/>
    </w:lvl>
    <w:lvl w:ilvl="7" w:tplc="C6FC5D38">
      <w:numFmt w:val="decimal"/>
      <w:lvlText w:val=""/>
      <w:lvlJc w:val="left"/>
    </w:lvl>
    <w:lvl w:ilvl="8" w:tplc="B2423DC6">
      <w:numFmt w:val="decimal"/>
      <w:lvlText w:val=""/>
      <w:lvlJc w:val="left"/>
    </w:lvl>
  </w:abstractNum>
  <w:abstractNum w:abstractNumId="1" w15:restartNumberingAfterBreak="0">
    <w:nsid w:val="39472744"/>
    <w:multiLevelType w:val="hybridMultilevel"/>
    <w:tmpl w:val="530C49E0"/>
    <w:lvl w:ilvl="0" w:tplc="6AC8FF80">
      <w:start w:val="1"/>
      <w:numFmt w:val="bullet"/>
      <w:lvlText w:val="●"/>
      <w:lvlJc w:val="left"/>
      <w:pPr>
        <w:ind w:left="720" w:hanging="360"/>
      </w:pPr>
    </w:lvl>
    <w:lvl w:ilvl="1" w:tplc="80DCDA62">
      <w:start w:val="1"/>
      <w:numFmt w:val="bullet"/>
      <w:lvlText w:val="○"/>
      <w:lvlJc w:val="left"/>
      <w:pPr>
        <w:ind w:left="1440" w:hanging="360"/>
      </w:pPr>
    </w:lvl>
    <w:lvl w:ilvl="2" w:tplc="69928E34">
      <w:start w:val="1"/>
      <w:numFmt w:val="bullet"/>
      <w:lvlText w:val="■"/>
      <w:lvlJc w:val="left"/>
      <w:pPr>
        <w:ind w:left="2160" w:hanging="360"/>
      </w:pPr>
    </w:lvl>
    <w:lvl w:ilvl="3" w:tplc="F214A278">
      <w:start w:val="1"/>
      <w:numFmt w:val="bullet"/>
      <w:lvlText w:val="●"/>
      <w:lvlJc w:val="left"/>
      <w:pPr>
        <w:ind w:left="2880" w:hanging="360"/>
      </w:pPr>
    </w:lvl>
    <w:lvl w:ilvl="4" w:tplc="5172FAFE">
      <w:start w:val="1"/>
      <w:numFmt w:val="bullet"/>
      <w:lvlText w:val="○"/>
      <w:lvlJc w:val="left"/>
      <w:pPr>
        <w:ind w:left="3600" w:hanging="360"/>
      </w:pPr>
    </w:lvl>
    <w:lvl w:ilvl="5" w:tplc="99584EE0">
      <w:start w:val="1"/>
      <w:numFmt w:val="bullet"/>
      <w:lvlText w:val="■"/>
      <w:lvlJc w:val="left"/>
      <w:pPr>
        <w:ind w:left="4320" w:hanging="360"/>
      </w:pPr>
    </w:lvl>
    <w:lvl w:ilvl="6" w:tplc="69FA0308">
      <w:start w:val="1"/>
      <w:numFmt w:val="bullet"/>
      <w:lvlText w:val="●"/>
      <w:lvlJc w:val="left"/>
      <w:pPr>
        <w:ind w:left="5040" w:hanging="360"/>
      </w:pPr>
    </w:lvl>
    <w:lvl w:ilvl="7" w:tplc="B4B4E5A2">
      <w:start w:val="1"/>
      <w:numFmt w:val="bullet"/>
      <w:lvlText w:val="●"/>
      <w:lvlJc w:val="left"/>
      <w:pPr>
        <w:ind w:left="5760" w:hanging="360"/>
      </w:pPr>
    </w:lvl>
    <w:lvl w:ilvl="8" w:tplc="382AFAA0">
      <w:start w:val="1"/>
      <w:numFmt w:val="bullet"/>
      <w:lvlText w:val="●"/>
      <w:lvlJc w:val="left"/>
      <w:pPr>
        <w:ind w:left="6480" w:hanging="360"/>
      </w:pPr>
    </w:lvl>
  </w:abstractNum>
  <w:num w:numId="1" w16cid:durableId="1831015380">
    <w:abstractNumId w:val="1"/>
    <w:lvlOverride w:ilvl="0">
      <w:startOverride w:val="1"/>
    </w:lvlOverride>
  </w:num>
  <w:num w:numId="2" w16cid:durableId="2380594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5E4"/>
    <w:rsid w:val="001A6410"/>
    <w:rsid w:val="001E03CC"/>
    <w:rsid w:val="002F3154"/>
    <w:rsid w:val="004045E4"/>
    <w:rsid w:val="00445BDC"/>
    <w:rsid w:val="004A5839"/>
    <w:rsid w:val="004D3C39"/>
    <w:rsid w:val="005352F5"/>
    <w:rsid w:val="005B2C58"/>
    <w:rsid w:val="00601E69"/>
    <w:rsid w:val="006D5574"/>
    <w:rsid w:val="00726806"/>
    <w:rsid w:val="007B35EA"/>
    <w:rsid w:val="009C4EEC"/>
    <w:rsid w:val="00A766FD"/>
    <w:rsid w:val="00E40A3E"/>
    <w:rsid w:val="00E47478"/>
    <w:rsid w:val="00EB3542"/>
    <w:rsid w:val="00FF3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5ACF8"/>
  <w15:docId w15:val="{4B1318B3-1509-4DBD-AACF-3BE9BEDA6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3864"/>
      <w:sz w:val="30"/>
      <w:szCs w:val="30"/>
    </w:rPr>
  </w:style>
  <w:style w:type="paragraph" w:styleId="Heading2">
    <w:name w:val="heading 2"/>
    <w:uiPriority w:val="9"/>
    <w:semiHidden/>
    <w:unhideWhenUsed/>
    <w:qFormat/>
    <w:pPr>
      <w:spacing w:before="240" w:after="80"/>
      <w:outlineLvl w:val="1"/>
    </w:pPr>
    <w:rPr>
      <w:b/>
      <w:bCs/>
      <w:color w:val="1F386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1738</Words>
  <Characters>9912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FIN 540 - Case Study Week 3</vt:lpstr>
    </vt:vector>
  </TitlesOfParts>
  <Company/>
  <LinksUpToDate>false</LinksUpToDate>
  <CharactersWithSpaces>11627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 540 - Case Study Week 3</dc:title>
  <dc:creator>Thomas R. Robinson</dc:creator>
  <cp:lastModifiedBy>joey bridgham</cp:lastModifiedBy>
  <cp:revision>2</cp:revision>
  <dcterms:created xsi:type="dcterms:W3CDTF">2026-05-30T19:02:00Z</dcterms:created>
  <dcterms:modified xsi:type="dcterms:W3CDTF">2026-05-30T19:02:00Z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eac7f0ce-d074-499f-bfec-b06cefc825e0</vt:lpwstr>
  </property>
</Properties>
</file>