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666CE" w14:textId="77777777" w:rsidR="00C93F02" w:rsidRPr="006E66D2" w:rsidRDefault="00C93F02" w:rsidP="00C93F02">
      <w:pPr>
        <w:rPr>
          <w:b/>
          <w:bCs/>
        </w:rPr>
      </w:pPr>
      <w:r w:rsidRPr="006E66D2">
        <w:rPr>
          <w:b/>
          <w:bCs/>
        </w:rPr>
        <w:t>Behavioral part:</w:t>
      </w:r>
    </w:p>
    <w:p w14:paraId="0ED2B48C" w14:textId="366D7424" w:rsidR="00C93F02" w:rsidRDefault="00C93F02" w:rsidP="00C93F02">
      <w:r>
        <w:t>Numerous prior studies have examined the importance of defaults associated with employer</w:t>
      </w:r>
      <w:r w:rsidR="00C4444C">
        <w:t>-</w:t>
      </w:r>
      <w:r>
        <w:t>provided retirement savings plans, but most of them were limited to estimating the impact of automatic enrollment and automatic escalation policies adopted by private sector 401(k) plan sponsors. This research area was launched with the influential Madrian and Shea (2001) case study on the impact of automatic enrollment in a 401(k) plan offered by a single large corporation; subsequent research also focused mainly on the private sector workforce (Choi, Laibson, and Madrian 2004a; Choi et al. 2004b; Choi et al. 2005; Beshears et al. 2009; Carroll et al. 2009; Sialm, Starks, and Zhang 2014).3 In general, the findings from that analysis indicated that automatic enrollment in 401(k) plans prompted substantial increases in participation, and that employee contributions tended to concentrate on default contribution rates. These studies imply that workers did not subsequently opt out of the plans and that once in the plans, they seldom changed their contribution rates from the default. Accordingly, the conclusion was that private sector employees covered by these plans accepted the default option and did not try to reverse the decisions imposed on them.</w:t>
      </w:r>
    </w:p>
    <w:p w14:paraId="44650BD1" w14:textId="77777777" w:rsidR="00C93F02" w:rsidRDefault="00C93F02" w:rsidP="00C93F02">
      <w:pPr>
        <w:rPr>
          <w:b/>
          <w:bCs/>
        </w:rPr>
      </w:pPr>
      <w:r w:rsidRPr="006E66D2">
        <w:rPr>
          <w:b/>
          <w:bCs/>
        </w:rPr>
        <w:fldChar w:fldCharType="begin"/>
      </w:r>
      <w:r w:rsidRPr="006E66D2">
        <w:rPr>
          <w:b/>
          <w:bCs/>
        </w:rPr>
        <w:instrText xml:space="preserve"> ADDIN ZOTERO_ITEM CSL_CITATION {"citationID":"6XcazM9d","properties":{"formattedCitation":"(Clark &amp; Mitchell, 2020)","plainCitation":"(Clark &amp; Mitchell, 2020)","noteIndex":0},"citationItems":[{"id":1206,"uris":["http://zotero.org/users/5598270/items/3X39NJJX"],"uri":["http://zotero.org/users/5598270/items/3X39NJJX"],"itemData":{"id":1206,"type":"article-journal","container-title":"Southern Economic Journal","DOI":"10.1002/soej.12415","ISSN":"0038-4038, 2325-8012","issue":"3","journalAbbreviation":"Southern Economic Journal","language":"en","page":"1133-1149","source":"DOI.org (Crossref)","title":"Target Date Defaults in a Public Sector Retirement Saving Plan","volume":"86","author":[{"family":"Clark","given":"Robert L."},{"family":"Mitchell","given":"Olivia S."}],"issued":{"date-parts":[["2020",1]]}}}],"schema":"https://github.com/citation-style-language/schema/raw/master/csl-citation.json"} </w:instrText>
      </w:r>
      <w:r w:rsidRPr="006E66D2">
        <w:rPr>
          <w:b/>
          <w:bCs/>
        </w:rPr>
        <w:fldChar w:fldCharType="separate"/>
      </w:r>
      <w:r w:rsidRPr="006E66D2">
        <w:rPr>
          <w:rFonts w:ascii="Calibri" w:hAnsi="Calibri" w:cs="Calibri"/>
          <w:b/>
          <w:bCs/>
        </w:rPr>
        <w:t>(Clark &amp; Mitchell, 2020)</w:t>
      </w:r>
      <w:r w:rsidRPr="006E66D2">
        <w:rPr>
          <w:b/>
          <w:bCs/>
        </w:rPr>
        <w:fldChar w:fldCharType="end"/>
      </w:r>
      <w:r>
        <w:rPr>
          <w:b/>
          <w:bCs/>
        </w:rPr>
        <w:t xml:space="preserve"> s.1134</w:t>
      </w:r>
    </w:p>
    <w:p w14:paraId="73832A2A" w14:textId="77777777" w:rsidR="00C93F02" w:rsidRDefault="00C93F02" w:rsidP="00C93F02">
      <w:pPr>
        <w:keepLines/>
        <w:spacing w:after="0"/>
        <w:jc w:val="both"/>
      </w:pPr>
      <w:r>
        <w:t xml:space="preserve">Investors prefer less risk </w:t>
      </w:r>
      <w:r>
        <w:sym w:font="Wingdings" w:char="F0E0"/>
      </w:r>
      <w:r>
        <w:t xml:space="preserve"> The strategy also seems to be consistent with investor preferences. In a survey of over 500 defined contribution plan participants, ING (2012) finds that 93% of TDF investors expect the fund to provide strong protection against losses when approaching and in retirement. The survey also finds that, when approaching and in retirement, if asked to choose between stronger protection against losses or a stronger growth potential, 80% of TDF investors (and 66% of non-</w:t>
      </w:r>
    </w:p>
    <w:p w14:paraId="09F573EA" w14:textId="77777777" w:rsidR="00C93F02" w:rsidRDefault="00C93F02" w:rsidP="00C93F02">
      <w:pPr>
        <w:keepLines/>
        <w:spacing w:after="0"/>
        <w:jc w:val="both"/>
      </w:pPr>
      <w:r>
        <w:t xml:space="preserve">TDF investors) prefer the former. </w:t>
      </w:r>
      <w:r>
        <w:fldChar w:fldCharType="begin"/>
      </w:r>
      <w:r>
        <w:instrText xml:space="preserve"> ADDIN ZOTERO_ITEM CSL_CITATION {"citationID":"VKdlpL6h","properties":{"formattedCitation":"(Estrada, n.d.)","plainCitation":"(Estrada, n.d.)","noteIndex":0},"citationItems":[{"id":1178,"uris":["http://zotero.org/users/5598270/items/33G3CJHA"],"uri":["http://zotero.org/users/5598270/items/33G3CJHA"],"itemData":{"id":1178,"type":"article-journal","abstract":"Target-date funds feature asset allocations that become increasingly conservative as investors approach retirement. An important shortcoming of this strategy is that it is suboptimal in terms of capital accumulation, which begs the question of why these funds are so popular. A possible answer is that investors become more risk averse as they age, gradually favoring more downside protection as they approach retirement. The main issue explored in this article is how much more risk averse would investors need to become during their working years to select asset allocations similar to those in target-date funds; the evidence here shows that investors would have to roughly double their risk aversion during the last 25 years of their working period. An intuitive interpretation of this result, based on how much an individual would pay to avoid a gamble, is also discussed.","language":"en","page":"14","source":"Zotero","title":"Target-Date Funds, Glidepaths, and Risk Aversion","author":[{"family":"Estrada","given":"Javier"}]}}],"schema":"https://github.com/citation-style-language/schema/raw/master/csl-citation.json"} </w:instrText>
      </w:r>
      <w:r>
        <w:fldChar w:fldCharType="separate"/>
      </w:r>
      <w:r w:rsidRPr="00AE4900">
        <w:rPr>
          <w:rFonts w:ascii="Calibri" w:hAnsi="Calibri" w:cs="Calibri"/>
        </w:rPr>
        <w:t>(Estrada, n.d.)</w:t>
      </w:r>
      <w:r>
        <w:fldChar w:fldCharType="end"/>
      </w:r>
    </w:p>
    <w:p w14:paraId="286C85CA" w14:textId="77777777" w:rsidR="00C93F02" w:rsidRDefault="00C93F02" w:rsidP="00C93F02">
      <w:pPr>
        <w:keepLines/>
        <w:spacing w:after="0"/>
        <w:jc w:val="both"/>
      </w:pPr>
    </w:p>
    <w:p w14:paraId="1404C206" w14:textId="21E7CC06" w:rsidR="00705F38" w:rsidRDefault="00C93F02" w:rsidP="00C93F02">
      <w:r>
        <w:t>We find that more risk</w:t>
      </w:r>
      <w:r w:rsidR="00A827B6">
        <w:t xml:space="preserve"> </w:t>
      </w:r>
      <w:r>
        <w:t>averse and less knowledgeable members tend to invest in the default fund – a fund that is,</w:t>
      </w:r>
      <w:r w:rsidR="00A827B6">
        <w:t xml:space="preserve"> </w:t>
      </w:r>
      <w:r>
        <w:t>however, one of the riskiest options on the choice menu.</w:t>
      </w:r>
      <w:r>
        <w:t xml:space="preserve"> </w:t>
      </w:r>
      <w:r>
        <w:fldChar w:fldCharType="begin"/>
      </w:r>
      <w:r>
        <w:instrText xml:space="preserve"> ADDIN ZOTERO_ITEM CSL_CITATION {"citationID":"2kmpymYY","properties":{"formattedCitation":"(B\\uc0\\u246{}hnke et al., 2019)","plainCitation":"(Böhnke et al., 2019)","noteIndex":0},"citationItems":[{"id":1239,"uris":["http://zotero.org/users/5598270/items/WL52IAUD"],"uri":["http://zotero.org/users/5598270/items/WL52IAUD"],"itemData":{"id":1239,"type":"article-journal","container-title":"Insights from the Swedish Premium Pension System (June 26, 2019)","title":"Appreciated but Complicated Pension Choices? Insights from the Swedish Premium Pension System","author":[{"family":"Böhnke","given":"Monika"},{"family":"Brüggen","given":"Elisabeth"},{"family":"Post","given":"Thomas"}],"issued":{"date-parts":[["2019"]]}}}],"schema":"https://github.com/citation-style-language/schema/raw/master/csl-citation.json"} </w:instrText>
      </w:r>
      <w:r>
        <w:fldChar w:fldCharType="separate"/>
      </w:r>
      <w:r w:rsidRPr="00C93F02">
        <w:rPr>
          <w:rFonts w:ascii="Calibri" w:hAnsi="Calibri" w:cs="Calibri"/>
          <w:szCs w:val="24"/>
        </w:rPr>
        <w:t>(Böhnke et al., 2019)</w:t>
      </w:r>
      <w:r>
        <w:fldChar w:fldCharType="end"/>
      </w:r>
    </w:p>
    <w:p w14:paraId="3746474E" w14:textId="1E2A5028" w:rsidR="00453A02" w:rsidRDefault="00453A02" w:rsidP="00C93F02"/>
    <w:p w14:paraId="5851D9AF" w14:textId="50934095" w:rsidR="00453A02" w:rsidRDefault="00453A02" w:rsidP="00C93F02">
      <w:r>
        <w:t>Fallacies:</w:t>
      </w:r>
    </w:p>
    <w:p w14:paraId="3C216D72" w14:textId="1A858B19" w:rsidR="00453A02" w:rsidRDefault="00453A02" w:rsidP="00C93F02">
      <w:pPr>
        <w:rPr>
          <w:sz w:val="30"/>
          <w:szCs w:val="30"/>
          <w:shd w:val="clear" w:color="auto" w:fill="FFFFFF"/>
        </w:rPr>
      </w:pPr>
      <w:r>
        <w:rPr>
          <w:sz w:val="30"/>
          <w:szCs w:val="30"/>
          <w:shd w:val="clear" w:color="auto" w:fill="FFFFFF"/>
        </w:rPr>
        <w:t>engagement and financial literacy</w:t>
      </w:r>
    </w:p>
    <w:p w14:paraId="10360EC8" w14:textId="04E1DA30" w:rsidR="00FC153A" w:rsidRDefault="00FC153A" w:rsidP="00C93F02">
      <w:pPr>
        <w:rPr>
          <w:sz w:val="30"/>
          <w:szCs w:val="30"/>
          <w:shd w:val="clear" w:color="auto" w:fill="FFFFFF"/>
        </w:rPr>
      </w:pPr>
    </w:p>
    <w:p w14:paraId="677C1A82" w14:textId="7EB482C8" w:rsidR="00FC153A" w:rsidRDefault="00FC153A" w:rsidP="00C93F02">
      <w:pPr>
        <w:rPr>
          <w:rFonts w:ascii="Open Sans" w:hAnsi="Open Sans" w:cs="Open Sans"/>
          <w:color w:val="1C1D1E"/>
          <w:shd w:val="clear" w:color="auto" w:fill="FFFFFF"/>
        </w:rPr>
      </w:pPr>
      <w:r>
        <w:rPr>
          <w:rFonts w:ascii="Open Sans" w:hAnsi="Open Sans" w:cs="Open Sans"/>
          <w:color w:val="1C1D1E"/>
          <w:shd w:val="clear" w:color="auto" w:fill="FFFFFF"/>
        </w:rPr>
        <w:t>A default is an option that will be selected if no active choice is made. Defaults are one of the most powerful elements of choice architecture because there is considerable evidence showing that people often choose the default (Jachimowicz, Duncan, Weber, &amp; Johnson, </w:t>
      </w:r>
      <w:hyperlink r:id="rId5" w:anchor="bdm2122-bib-0048" w:history="1">
        <w:r>
          <w:rPr>
            <w:rStyle w:val="Hyperlink"/>
            <w:rFonts w:ascii="Open Sans" w:hAnsi="Open Sans" w:cs="Open Sans"/>
            <w:b/>
            <w:bCs/>
            <w:color w:val="000000"/>
          </w:rPr>
          <w:t>2019</w:t>
        </w:r>
      </w:hyperlink>
      <w:r>
        <w:rPr>
          <w:rFonts w:ascii="Open Sans" w:hAnsi="Open Sans" w:cs="Open Sans"/>
          <w:color w:val="1C1D1E"/>
          <w:shd w:val="clear" w:color="auto" w:fill="FFFFFF"/>
        </w:rPr>
        <w:t>; Johnson et al., </w:t>
      </w:r>
      <w:hyperlink r:id="rId6" w:anchor="bdm2122-bib-0051" w:history="1">
        <w:r>
          <w:rPr>
            <w:rStyle w:val="Hyperlink"/>
            <w:rFonts w:ascii="Open Sans" w:hAnsi="Open Sans" w:cs="Open Sans"/>
            <w:b/>
            <w:bCs/>
            <w:color w:val="000000"/>
          </w:rPr>
          <w:t>2012</w:t>
        </w:r>
      </w:hyperlink>
      <w:r>
        <w:rPr>
          <w:rFonts w:ascii="Open Sans" w:hAnsi="Open Sans" w:cs="Open Sans"/>
          <w:color w:val="1C1D1E"/>
          <w:shd w:val="clear" w:color="auto" w:fill="FFFFFF"/>
        </w:rPr>
        <w:t>; Johnson &amp; Goldstein, </w:t>
      </w:r>
      <w:hyperlink r:id="rId7" w:anchor="bdm2122-bib-0050" w:history="1">
        <w:r>
          <w:rPr>
            <w:rStyle w:val="Hyperlink"/>
            <w:rFonts w:ascii="Open Sans" w:hAnsi="Open Sans" w:cs="Open Sans"/>
            <w:b/>
            <w:bCs/>
            <w:color w:val="000000"/>
          </w:rPr>
          <w:t>2003</w:t>
        </w:r>
      </w:hyperlink>
      <w:r>
        <w:rPr>
          <w:rFonts w:ascii="Open Sans" w:hAnsi="Open Sans" w:cs="Open Sans"/>
          <w:color w:val="1C1D1E"/>
          <w:shd w:val="clear" w:color="auto" w:fill="FFFFFF"/>
        </w:rPr>
        <w:t>), particularly in the context of retirement savings (Dobrescu et al., </w:t>
      </w:r>
      <w:hyperlink r:id="rId8" w:anchor="bdm2122-bib-0024" w:history="1">
        <w:r>
          <w:rPr>
            <w:rStyle w:val="Hyperlink"/>
            <w:rFonts w:ascii="Open Sans" w:hAnsi="Open Sans" w:cs="Open Sans"/>
            <w:b/>
            <w:bCs/>
            <w:color w:val="000000"/>
          </w:rPr>
          <w:t>2018</w:t>
        </w:r>
      </w:hyperlink>
      <w:r>
        <w:rPr>
          <w:rFonts w:ascii="Open Sans" w:hAnsi="Open Sans" w:cs="Open Sans"/>
          <w:color w:val="1C1D1E"/>
          <w:shd w:val="clear" w:color="auto" w:fill="FFFFFF"/>
        </w:rPr>
        <w:t>). For example, making enrollment in a company's retirement savings program the default tends to increase retirement plan enrollment rates (Beshears, Choi, Laibson, &amp; Madrian, </w:t>
      </w:r>
      <w:hyperlink r:id="rId9" w:anchor="bdm2122-bib-0011" w:history="1">
        <w:r>
          <w:rPr>
            <w:rStyle w:val="Hyperlink"/>
            <w:rFonts w:ascii="Open Sans" w:hAnsi="Open Sans" w:cs="Open Sans"/>
            <w:b/>
            <w:bCs/>
            <w:color w:val="000000"/>
          </w:rPr>
          <w:t>2009</w:t>
        </w:r>
      </w:hyperlink>
      <w:r>
        <w:rPr>
          <w:rFonts w:ascii="Open Sans" w:hAnsi="Open Sans" w:cs="Open Sans"/>
          <w:color w:val="1C1D1E"/>
          <w:shd w:val="clear" w:color="auto" w:fill="FFFFFF"/>
        </w:rPr>
        <w:t>). Moreover, those enrolled in a retirement savings program tend to remain with the default contribution rate and default fund allocation (Madrian &amp; Shea, </w:t>
      </w:r>
      <w:hyperlink r:id="rId10" w:anchor="bdm2122-bib-0060" w:history="1">
        <w:r>
          <w:rPr>
            <w:rStyle w:val="Hyperlink"/>
            <w:rFonts w:ascii="Open Sans" w:hAnsi="Open Sans" w:cs="Open Sans"/>
            <w:b/>
            <w:bCs/>
            <w:color w:val="000000"/>
          </w:rPr>
          <w:t>2001</w:t>
        </w:r>
      </w:hyperlink>
      <w:r>
        <w:rPr>
          <w:rFonts w:ascii="Open Sans" w:hAnsi="Open Sans" w:cs="Open Sans"/>
          <w:color w:val="1C1D1E"/>
          <w:shd w:val="clear" w:color="auto" w:fill="FFFFFF"/>
        </w:rPr>
        <w:t>). The </w:t>
      </w:r>
      <w:r>
        <w:rPr>
          <w:rFonts w:ascii="Open Sans" w:hAnsi="Open Sans" w:cs="Open Sans"/>
          <w:i/>
          <w:iCs/>
          <w:color w:val="1C1D1E"/>
          <w:shd w:val="clear" w:color="auto" w:fill="FFFFFF"/>
        </w:rPr>
        <w:t>Save More Tomorrow</w:t>
      </w:r>
      <w:r>
        <w:rPr>
          <w:rFonts w:ascii="Open Sans" w:hAnsi="Open Sans" w:cs="Open Sans"/>
          <w:color w:val="1C1D1E"/>
          <w:shd w:val="clear" w:color="auto" w:fill="FFFFFF"/>
        </w:rPr>
        <w:t> pension program created by Thaler and Benartzi (</w:t>
      </w:r>
      <w:hyperlink r:id="rId11" w:anchor="bdm2122-bib-0075" w:history="1">
        <w:r>
          <w:rPr>
            <w:rStyle w:val="Hyperlink"/>
            <w:rFonts w:ascii="Open Sans" w:hAnsi="Open Sans" w:cs="Open Sans"/>
            <w:b/>
            <w:bCs/>
            <w:color w:val="000000"/>
          </w:rPr>
          <w:t>2004</w:t>
        </w:r>
      </w:hyperlink>
      <w:r>
        <w:rPr>
          <w:rFonts w:ascii="Open Sans" w:hAnsi="Open Sans" w:cs="Open Sans"/>
          <w:color w:val="1C1D1E"/>
          <w:shd w:val="clear" w:color="auto" w:fill="FFFFFF"/>
        </w:rPr>
        <w:t>) used defaults to help people save for their retirement by automatically increasing pension contributions with pay raises until a preset maximum. In one implementation of the program, the average saving rates for participants increased from 3.5% to 13.6% over 40 months.</w:t>
      </w:r>
      <w:r>
        <w:rPr>
          <w:rFonts w:ascii="Open Sans" w:hAnsi="Open Sans" w:cs="Open Sans"/>
          <w:color w:val="1C1D1E"/>
          <w:shd w:val="clear" w:color="auto" w:fill="FFFFFF"/>
        </w:rPr>
        <w:t xml:space="preserve"> </w:t>
      </w:r>
      <w:r w:rsidR="00893AC3">
        <w:rPr>
          <w:rFonts w:ascii="Open Sans" w:hAnsi="Open Sans" w:cs="Open Sans"/>
          <w:color w:val="1C1D1E"/>
          <w:shd w:val="clear" w:color="auto" w:fill="FFFFFF"/>
        </w:rPr>
        <w:fldChar w:fldCharType="begin"/>
      </w:r>
      <w:r w:rsidR="00893AC3">
        <w:rPr>
          <w:rFonts w:ascii="Open Sans" w:hAnsi="Open Sans" w:cs="Open Sans"/>
          <w:color w:val="1C1D1E"/>
          <w:shd w:val="clear" w:color="auto" w:fill="FFFFFF"/>
        </w:rPr>
        <w:instrText xml:space="preserve"> ADDIN ZOTERO_ITEM CSL_CITATION {"citationID":"s9xRu2RQ","properties":{"formattedCitation":"(Camilleri et al., 2019)","plainCitation":"(Camilleri et al., 2019)","noteIndex":0},"citationItems":[{"id":1244,"uris":["http://zotero.org/users/5598270/items/A4LKTNQZ"],"uri":["http://zotero.org/users/5598270/items/A4LKTNQZ"],"itemData":{"id":1244,"type":"article-journal","container-title":"Journal of Behavioral Decision Making","issue":"4","note":"ISBN: 0894-3257\npublisher: Wiley Online Library","page":"431-449","title":"Nudges and signposts: The effect of smart defaults and pictographic risk information on retirement saving investment choices","volume":"32","author":[{"family":"Camilleri","given":"Adrian R."},{"family":"Cam","given":"Marie-Anne"},{"family":"Hoffmann","given":"Robert"}],"issued":{"date-parts":[["2019"]]}}}],"schema":"https://github.com/citation-style-language/schema/raw/master/csl-citation.json"} </w:instrText>
      </w:r>
      <w:r w:rsidR="00893AC3">
        <w:rPr>
          <w:rFonts w:ascii="Open Sans" w:hAnsi="Open Sans" w:cs="Open Sans"/>
          <w:color w:val="1C1D1E"/>
          <w:shd w:val="clear" w:color="auto" w:fill="FFFFFF"/>
        </w:rPr>
        <w:fldChar w:fldCharType="separate"/>
      </w:r>
      <w:r w:rsidR="00893AC3" w:rsidRPr="00893AC3">
        <w:rPr>
          <w:rFonts w:ascii="Open Sans" w:hAnsi="Open Sans" w:cs="Open Sans"/>
        </w:rPr>
        <w:t>(Camilleri et al., 2019)</w:t>
      </w:r>
      <w:r w:rsidR="00893AC3">
        <w:rPr>
          <w:rFonts w:ascii="Open Sans" w:hAnsi="Open Sans" w:cs="Open Sans"/>
          <w:color w:val="1C1D1E"/>
          <w:shd w:val="clear" w:color="auto" w:fill="FFFFFF"/>
        </w:rPr>
        <w:fldChar w:fldCharType="end"/>
      </w:r>
    </w:p>
    <w:p w14:paraId="7925C5E6" w14:textId="241E5C62" w:rsidR="009C5416" w:rsidRDefault="009C5416" w:rsidP="00C93F02">
      <w:pPr>
        <w:rPr>
          <w:rFonts w:ascii="Open Sans" w:hAnsi="Open Sans" w:cs="Open Sans"/>
          <w:color w:val="1C1D1E"/>
          <w:shd w:val="clear" w:color="auto" w:fill="FFFFFF"/>
        </w:rPr>
      </w:pPr>
    </w:p>
    <w:p w14:paraId="3BCAD3B9" w14:textId="29705BA1" w:rsidR="009C5416" w:rsidRDefault="009C5416" w:rsidP="00C93F02">
      <w:pPr>
        <w:rPr>
          <w:rFonts w:ascii="Open Sans" w:hAnsi="Open Sans" w:cs="Open Sans"/>
          <w:color w:val="1C1D1E"/>
          <w:shd w:val="clear" w:color="auto" w:fill="FFFFFF"/>
        </w:rPr>
      </w:pPr>
      <w:r>
        <w:rPr>
          <w:rFonts w:ascii="Open Sans" w:hAnsi="Open Sans" w:cs="Open Sans"/>
          <w:color w:val="1C1D1E"/>
          <w:shd w:val="clear" w:color="auto" w:fill="FFFFFF"/>
        </w:rPr>
        <w:lastRenderedPageBreak/>
        <w:t>Litigations</w:t>
      </w:r>
    </w:p>
    <w:p w14:paraId="56780069" w14:textId="44792453" w:rsidR="009C5416" w:rsidRDefault="009C5416" w:rsidP="00C93F02">
      <w:r w:rsidRPr="009C5416">
        <w:t>The Employee Retirement Income Security Act of 1974 (ERISA)</w:t>
      </w:r>
      <w:r>
        <w:t xml:space="preserve"> … </w:t>
      </w:r>
      <w:r w:rsidRPr="009C5416">
        <w:t>establishes fiduciary duties for those who manage and control these plans, and gives participants the right to sue plan fiduciaries for breach of their duty</w:t>
      </w:r>
      <w:r>
        <w:t xml:space="preserve"> </w:t>
      </w:r>
      <w:r>
        <w:fldChar w:fldCharType="begin"/>
      </w:r>
      <w:r>
        <w:instrText xml:space="preserve"> ADDIN ZOTERO_ITEM CSL_CITATION {"citationID":"EjaiPJGX","properties":{"formattedCitation":"(Cusano, 2019)","plainCitation":"(Cusano, 2019)","noteIndex":0},"citationItems":[{"id":1241,"uris":["http://zotero.org/users/5598270/items/Z34WFXRX"],"uri":["http://zotero.org/users/5598270/items/Z34WFXRX"],"itemData":{"id":1241,"type":"article-journal","container-title":"SSRN Electronic Journal","DOI":"10.2139/ssrn.3506849","ISSN":"1556-5068","journalAbbreviation":"SSRN Journal","language":"en","source":"DOI.org (Crossref)","title":"The Rise the Duty of Prudence and Demise of the Large-Menu Defense: An Update on Recent Erisa Litigation and Divane v. Northwestern","title-short":"The Rise the Duty of Prudence and Demise of the Large-Menu Defense","URL":"https://www.ssrn.com/abstract=3506849","author":[{"family":"Cusano","given":"Louis"}],"accessed":{"date-parts":[["2020",11,7]]},"issued":{"date-parts":[["2019"]]}}}],"schema":"https://github.com/citation-style-language/schema/raw/master/csl-citation.json"} </w:instrText>
      </w:r>
      <w:r>
        <w:fldChar w:fldCharType="separate"/>
      </w:r>
      <w:r w:rsidRPr="009C5416">
        <w:rPr>
          <w:rFonts w:ascii="Calibri" w:hAnsi="Calibri" w:cs="Calibri"/>
        </w:rPr>
        <w:t>(Cusano, 2019)</w:t>
      </w:r>
      <w:r>
        <w:fldChar w:fldCharType="end"/>
      </w:r>
    </w:p>
    <w:p w14:paraId="76734B2E" w14:textId="378B3C93" w:rsidR="009C5416" w:rsidRDefault="009C5416" w:rsidP="00C93F02">
      <w:r>
        <w:t xml:space="preserve">If performance </w:t>
      </w:r>
      <w:r w:rsidR="00054F29">
        <w:t>i</w:t>
      </w:r>
      <w:r>
        <w:t>s worse than in the benchmark, or the asset classes in the portfolio deviates from the rest… Motivates to follow the rest even though that would mean worse investment decisions. At least, don’t get sued.</w:t>
      </w:r>
    </w:p>
    <w:p w14:paraId="7CBD2928" w14:textId="7EFF463A" w:rsidR="009C5416" w:rsidRDefault="009C5416" w:rsidP="00C93F02"/>
    <w:p w14:paraId="223612C3" w14:textId="6F942CCB" w:rsidR="00A426F7" w:rsidRDefault="00A426F7" w:rsidP="00C93F02"/>
    <w:p w14:paraId="22874D0D" w14:textId="64C0D394" w:rsidR="00A426F7" w:rsidRDefault="00A426F7" w:rsidP="00C93F02">
      <w:r>
        <w:t>Default can be a risky option</w:t>
      </w:r>
    </w:p>
    <w:p w14:paraId="5481BD97" w14:textId="0065C358" w:rsidR="00A426F7" w:rsidRDefault="00A426F7" w:rsidP="00C93F02">
      <w:r>
        <w:rPr>
          <w:color w:val="2A2A2A"/>
          <w:sz w:val="23"/>
          <w:szCs w:val="23"/>
          <w:shd w:val="clear" w:color="auto" w:fill="EFF2F7"/>
        </w:rPr>
        <w:t> Analyzing plan-level data, we find little evidence that 401(k) plan sponsors consider, to any economically meaningful degree, the risk profiles of their firms when choosing among TDFs.</w:t>
      </w:r>
    </w:p>
    <w:p w14:paraId="6AB4B517" w14:textId="200D68C4" w:rsidR="00A426F7" w:rsidRDefault="00A426F7" w:rsidP="00C93F02">
      <w:r>
        <w:fldChar w:fldCharType="begin"/>
      </w:r>
      <w:r>
        <w:instrText xml:space="preserve"> ADDIN ZOTERO_ITEM CSL_CITATION {"citationID":"mdwUkDaH","properties":{"formattedCitation":"(Balduzzi &amp; Reuter, 2019)","plainCitation":"(Balduzzi &amp; Reuter, 2019)","noteIndex":0},"citationItems":[{"id":1243,"uris":["http://zotero.org/users/5598270/items/6ENGWNTA"],"uri":["http://zotero.org/users/5598270/items/6ENGWNTA"],"itemData":{"id":1243,"type":"article-journal","container-title":"The Review of Financial Studies","DOI":"10.1093/rfs/hhy054","ISSN":"0893-9454, 1465-7368","issue":"1","language":"en","page":"300-337","source":"DOI.org (Crossref)","title":"Heterogeneity in Target Date Funds: Strategic Risk-taking or Risk Matching?","title-short":"Heterogeneity in Target Date Funds","volume":"32","author":[{"family":"Balduzzi","given":"Pierluigi"},{"family":"Reuter","given":"Jonathan"}],"issued":{"date-parts":[["2019",1,1]]}}}],"schema":"https://github.com/citation-style-language/schema/raw/master/csl-citation.json"} </w:instrText>
      </w:r>
      <w:r>
        <w:fldChar w:fldCharType="separate"/>
      </w:r>
      <w:r w:rsidRPr="00A426F7">
        <w:rPr>
          <w:rFonts w:ascii="Calibri" w:hAnsi="Calibri" w:cs="Calibri"/>
        </w:rPr>
        <w:t>(Balduzzi &amp; Reuter, 2019)</w:t>
      </w:r>
      <w:r>
        <w:fldChar w:fldCharType="end"/>
      </w:r>
    </w:p>
    <w:p w14:paraId="3D78D8F5" w14:textId="6027F9DB" w:rsidR="00C4444C" w:rsidRDefault="00C4444C" w:rsidP="00C93F02"/>
    <w:p w14:paraId="78A93201" w14:textId="575A9298" w:rsidR="00C4444C" w:rsidRDefault="00651D95" w:rsidP="00C93F02">
      <w:r w:rsidRPr="00651D95">
        <w:t xml:space="preserve">The concept of “choice architecture” refers broadly to the design of the decision framework governing consumer choice </w:t>
      </w:r>
      <w:r w:rsidRPr="00651D95">
        <w:rPr>
          <w:highlight w:val="yellow"/>
        </w:rPr>
        <w:t>(Thaler and Sunstein, 2008).</w:t>
      </w:r>
      <w:r>
        <w:t xml:space="preserve">  </w:t>
      </w:r>
      <w:r>
        <w:fldChar w:fldCharType="begin"/>
      </w:r>
      <w:r>
        <w:instrText xml:space="preserve"> ADDIN ZOTERO_ITEM CSL_CITATION {"citationID":"2UO3zF8r","properties":{"formattedCitation":"(Mitchell &amp; Utkus, 2012)","plainCitation":"(Mitchell &amp; Utkus, 2012)","noteIndex":0},"citationItems":[{"id":1186,"uris":["http://zotero.org/users/5598270/items/B342WH9M"],"uri":["http://zotero.org/users/5598270/items/B342WH9M"],"itemData":{"id":1186,"type":"report","note":"ISBN: 0898-2937","publisher":"National Bureau of Economic Research","title":"Target-date funds in 401 (k) retirement plans","author":[{"family":"Mitchell","given":"Olivia S."},{"family":"Utkus","given":"Stephen"}],"issued":{"date-parts":[["2012"]]}}}],"schema":"https://github.com/citation-style-language/schema/raw/master/csl-citation.json"} </w:instrText>
      </w:r>
      <w:r>
        <w:fldChar w:fldCharType="separate"/>
      </w:r>
      <w:r w:rsidRPr="00651D95">
        <w:rPr>
          <w:rFonts w:ascii="Calibri" w:hAnsi="Calibri" w:cs="Calibri"/>
        </w:rPr>
        <w:t>(Mitchell &amp; Utkus, 2012)</w:t>
      </w:r>
      <w:r>
        <w:fldChar w:fldCharType="end"/>
      </w:r>
    </w:p>
    <w:p w14:paraId="54477F57" w14:textId="55ED0D1D" w:rsidR="00C4444C" w:rsidRDefault="00C4444C" w:rsidP="00C93F02"/>
    <w:p w14:paraId="05957C2A" w14:textId="13F92E22" w:rsidR="004D691F" w:rsidRDefault="004D691F" w:rsidP="00C93F02">
      <w:r>
        <w:t>First, pension investors are involuntary investors (pensions being mandatory) and some of them may simply not care about their locked‐in savings, or discount them excessively. Second, since pension assets tend to be smaller and locked in until retirement, investors might have them on a different mental account that is not as important for them, triggering the observed inertia and inattentiveness. Finally, it is likely that the average investor in the PPS is simply less sophisticated than the average investor in the retail mutual fund market (a self‐selected group of investors).</w:t>
      </w:r>
    </w:p>
    <w:p w14:paraId="7E554DDF" w14:textId="73A11452" w:rsidR="00C4444C" w:rsidRDefault="004D691F" w:rsidP="00C93F02">
      <w:r>
        <w:fldChar w:fldCharType="begin"/>
      </w:r>
      <w:r>
        <w:instrText xml:space="preserve"> ADDIN ZOTERO_ITEM CSL_CITATION {"citationID":"CJfuW8YU","properties":{"formattedCitation":"(Dahlquist &amp; Martinez, 2015)","plainCitation":"(Dahlquist &amp; Martinez, 2015)","noteIndex":0},"citationItems":[{"id":1246,"uris":["http://zotero.org/users/5598270/items/6J4HXXME"],"uri":["http://zotero.org/users/5598270/items/6J4HXXME"],"itemData":{"id":1246,"type":"article-journal","abstract":"We investigate inattention on the part of pension plan participants using a dataset covering savings in Sweden’s Premium Pension System. These data permit direct comparison of the investment behaviours of pension and retail mutual fund investors. Unlike retail mutual fund investors, pension investors do not seem to react to past fund performance. This behaviour means that pension investors face a greater risk of being caught in poorly performing funds. Our evidence suggests that inertia and inattention to past performance may translate into poorer investment results for pension investors. We discuss a potential change in the design of deﬁned contribution pension schemes that may mitigate costs for inattentive investors while maintaining ﬂexibility for attentive investors.","container-title":"European Financial Management","DOI":"10.1111/j.1468-036X.2013.12008.x","ISSN":"13547798","issue":"1","journalAbbreviation":"Eur Financial Management","language":"en","page":"1-19","source":"DOI.org (Crossref)","title":"Investor Inattention: A Hidden Cost of Choice in Pension Plans?: Investor Inattention","title-short":"Investor Inattention","volume":"21","author":[{"family":"Dahlquist","given":"Magnus"},{"family":"Martinez","given":"José Vicente"}],"issued":{"date-parts":[["2015",1]]}}}],"schema":"https://github.com/citation-style-language/schema/raw/master/csl-citation.json"} </w:instrText>
      </w:r>
      <w:r>
        <w:fldChar w:fldCharType="separate"/>
      </w:r>
      <w:r w:rsidRPr="004D691F">
        <w:rPr>
          <w:rFonts w:ascii="Calibri" w:hAnsi="Calibri" w:cs="Calibri"/>
        </w:rPr>
        <w:t>(Dahlquist &amp; Martinez, 2015)</w:t>
      </w:r>
      <w:r>
        <w:fldChar w:fldCharType="end"/>
      </w:r>
    </w:p>
    <w:p w14:paraId="013035F0" w14:textId="77777777" w:rsidR="00D3732E" w:rsidRDefault="00D3732E" w:rsidP="00D3732E">
      <w:pPr>
        <w:rPr>
          <w:rFonts w:cstheme="minorHAnsi"/>
          <w:b/>
          <w:bCs/>
          <w:color w:val="1C1D1E"/>
          <w:shd w:val="clear" w:color="auto" w:fill="FFFFFF"/>
        </w:rPr>
      </w:pPr>
      <w:r w:rsidRPr="00D3732E">
        <w:rPr>
          <w:rFonts w:cstheme="minorHAnsi"/>
          <w:color w:val="1C1D1E"/>
          <w:shd w:val="clear" w:color="auto" w:fill="FFFFFF"/>
        </w:rPr>
        <w:t xml:space="preserve">Investor inertia and inattentiveness are well‐documented phenomena in pension plans </w:t>
      </w:r>
      <w:r w:rsidRPr="00D3732E">
        <w:rPr>
          <w:rFonts w:cstheme="minorHAnsi"/>
          <w:color w:val="1C1D1E"/>
          <w:highlight w:val="yellow"/>
          <w:shd w:val="clear" w:color="auto" w:fill="FFFFFF"/>
        </w:rPr>
        <w:t>(see Samuelson and Zeckhauser, 1998; Madrian and Shea, 2001; Agnew et al., 2003; Ameriks and Zeldes, 2004; Mitchell et al., 2006)</w:t>
      </w:r>
      <w:r>
        <w:rPr>
          <w:rFonts w:cstheme="minorHAnsi"/>
          <w:color w:val="1C1D1E"/>
          <w:shd w:val="clear" w:color="auto" w:fill="FFFFFF"/>
        </w:rPr>
        <w:t xml:space="preserve"> </w:t>
      </w:r>
      <w:r>
        <w:rPr>
          <w:rFonts w:cstheme="minorHAnsi"/>
          <w:b/>
          <w:bCs/>
          <w:color w:val="1C1D1E"/>
          <w:shd w:val="clear" w:color="auto" w:fill="FFFFFF"/>
        </w:rPr>
        <w:fldChar w:fldCharType="begin"/>
      </w:r>
      <w:r>
        <w:rPr>
          <w:rFonts w:cstheme="minorHAnsi"/>
          <w:b/>
          <w:bCs/>
          <w:color w:val="1C1D1E"/>
          <w:shd w:val="clear" w:color="auto" w:fill="FFFFFF"/>
        </w:rPr>
        <w:instrText xml:space="preserve"> ADDIN ZOTERO_ITEM CSL_CITATION {"citationID":"oCInPDp8","properties":{"formattedCitation":"(Dahlquist &amp; Martinez, 2015)","plainCitation":"(Dahlquist &amp; Martinez, 2015)","noteIndex":0},"citationItems":[{"id":1246,"uris":["http://zotero.org/users/5598270/items/6J4HXXME"],"uri":["http://zotero.org/users/5598270/items/6J4HXXME"],"itemData":{"id":1246,"type":"article-journal","abstract":"We investigate inattention on the part of pension plan participants using a dataset covering savings in Sweden’s Premium Pension System. These data permit direct comparison of the investment behaviours of pension and retail mutual fund investors. Unlike retail mutual fund investors, pension investors do not seem to react to past fund performance. This behaviour means that pension investors face a greater risk of being caught in poorly performing funds. Our evidence suggests that inertia and inattention to past performance may translate into poorer investment results for pension investors. We discuss a potential change in the design of deﬁned contribution pension schemes that may mitigate costs for inattentive investors while maintaining ﬂexibility for attentive investors.","container-title":"European Financial Management","DOI":"10.1111/j.1468-036X.2013.12008.x","ISSN":"13547798","issue":"1","journalAbbreviation":"Eur Financial Management","language":"en","page":"1-19","source":"DOI.org (Crossref)","title":"Investor Inattention: A Hidden Cost of Choice in Pension Plans?: Investor Inattention","title-short":"Investor Inattention","volume":"21","author":[{"family":"Dahlquist","given":"Magnus"},{"family":"Martinez","given":"José Vicente"}],"issued":{"date-parts":[["2015",1]]}}}],"schema":"https://github.com/citation-style-language/schema/raw/master/csl-citation.json"} </w:instrText>
      </w:r>
      <w:r>
        <w:rPr>
          <w:rFonts w:cstheme="minorHAnsi"/>
          <w:b/>
          <w:bCs/>
          <w:color w:val="1C1D1E"/>
          <w:shd w:val="clear" w:color="auto" w:fill="FFFFFF"/>
        </w:rPr>
        <w:fldChar w:fldCharType="separate"/>
      </w:r>
      <w:r w:rsidRPr="00D3732E">
        <w:rPr>
          <w:rFonts w:ascii="Calibri" w:hAnsi="Calibri" w:cs="Calibri"/>
        </w:rPr>
        <w:t>(Dahlquist &amp; Martinez, 2015)</w:t>
      </w:r>
      <w:r>
        <w:rPr>
          <w:rFonts w:cstheme="minorHAnsi"/>
          <w:b/>
          <w:bCs/>
          <w:color w:val="1C1D1E"/>
          <w:shd w:val="clear" w:color="auto" w:fill="FFFFFF"/>
        </w:rPr>
        <w:fldChar w:fldCharType="end"/>
      </w:r>
    </w:p>
    <w:p w14:paraId="7D025F96" w14:textId="5F19F36E" w:rsidR="00C4444C" w:rsidRDefault="00C4444C" w:rsidP="00C93F02"/>
    <w:p w14:paraId="019C9935" w14:textId="6FAE3C59" w:rsidR="00C4444C" w:rsidRDefault="00C4444C" w:rsidP="00C93F02"/>
    <w:p w14:paraId="0A4E2815" w14:textId="7364757B" w:rsidR="00C4444C" w:rsidRDefault="00C4444C" w:rsidP="00C93F02"/>
    <w:p w14:paraId="6FFBF74D" w14:textId="304B3C7C" w:rsidR="00C4444C" w:rsidRDefault="00C4444C" w:rsidP="00C93F02"/>
    <w:p w14:paraId="515C3018" w14:textId="58ADFAC2" w:rsidR="00C4444C" w:rsidRDefault="00C4444C" w:rsidP="00C93F02"/>
    <w:p w14:paraId="2579CFDA" w14:textId="4D279CD6" w:rsidR="00C4444C" w:rsidRDefault="00C4444C" w:rsidP="00C93F02"/>
    <w:p w14:paraId="03B891E4" w14:textId="5AC18AA1" w:rsidR="00C4444C" w:rsidRDefault="00C4444C" w:rsidP="00C93F02"/>
    <w:p w14:paraId="4DF0222C" w14:textId="105BCA1A" w:rsidR="00C4444C" w:rsidRDefault="00C4444C" w:rsidP="00C93F02"/>
    <w:p w14:paraId="2C65124D" w14:textId="3C7BD90F" w:rsidR="00C4444C" w:rsidRDefault="00C4444C" w:rsidP="00C93F02"/>
    <w:p w14:paraId="41BFE9D2" w14:textId="7A7A0716" w:rsidR="00C4444C" w:rsidRDefault="00C4444C" w:rsidP="00C93F02"/>
    <w:p w14:paraId="366EC31D" w14:textId="48298BA4" w:rsidR="00C4444C" w:rsidRDefault="00C4444C" w:rsidP="00C4444C">
      <w:pPr>
        <w:pStyle w:val="Heading2"/>
      </w:pPr>
      <w:r>
        <w:t>Investors’ behavior affecting the riskiness of Target-Date Funds</w:t>
      </w:r>
    </w:p>
    <w:p w14:paraId="7CDEFC73" w14:textId="1187BADF" w:rsidR="00C4444C" w:rsidRDefault="00C4444C" w:rsidP="00C4444C"/>
    <w:p w14:paraId="1F18B07D" w14:textId="287529C5" w:rsidR="00C4444C" w:rsidRDefault="00C4444C" w:rsidP="00C4444C">
      <w:r>
        <w:t>First, we need to examine, how the current system works.</w:t>
      </w:r>
      <w:r w:rsidR="00651D95">
        <w:t xml:space="preserve"> </w:t>
      </w:r>
    </w:p>
    <w:p w14:paraId="31D03E56" w14:textId="449F46B7" w:rsidR="00651D95" w:rsidRDefault="00651D95" w:rsidP="00C4444C">
      <w:r w:rsidRPr="00651D95">
        <w:rPr>
          <w:b/>
          <w:bCs/>
        </w:rPr>
        <w:t>Choice architecture</w:t>
      </w:r>
    </w:p>
    <w:p w14:paraId="0E855A32" w14:textId="3513A574" w:rsidR="00054F29" w:rsidRPr="00536876" w:rsidRDefault="00651D95" w:rsidP="00054F29">
      <w:pPr>
        <w:rPr>
          <w:rFonts w:cstheme="minorHAnsi"/>
        </w:rPr>
      </w:pPr>
      <w:r w:rsidRPr="00536876">
        <w:rPr>
          <w:rFonts w:cstheme="minorHAnsi"/>
        </w:rPr>
        <w:t xml:space="preserve">The concept of “choice architecture” is broadly defined as a design of the decision framework governing consumer choice </w:t>
      </w:r>
      <w:r w:rsidRPr="00536876">
        <w:rPr>
          <w:rFonts w:cstheme="minorHAnsi"/>
          <w:highlight w:val="yellow"/>
        </w:rPr>
        <w:t>(Thaler and Sunstein, 2008).</w:t>
      </w:r>
      <w:r w:rsidRPr="00536876">
        <w:rPr>
          <w:rFonts w:cstheme="minorHAnsi"/>
        </w:rPr>
        <w:t xml:space="preserve"> </w:t>
      </w:r>
      <w:r w:rsidR="00176843" w:rsidRPr="00536876">
        <w:rPr>
          <w:rFonts w:cstheme="minorHAnsi"/>
        </w:rPr>
        <w:t>The behavioral elements related to the pension setting, such as automatic enrolment and re-enrolment to a pension plan, and default funds, are all related to this concept.</w:t>
      </w:r>
      <w:r w:rsidR="00D42201" w:rsidRPr="00536876">
        <w:rPr>
          <w:rFonts w:cstheme="minorHAnsi"/>
        </w:rPr>
        <w:t xml:space="preserve"> </w:t>
      </w:r>
      <w:r w:rsidR="00D42201" w:rsidRPr="00536876">
        <w:rPr>
          <w:rFonts w:cstheme="minorHAnsi"/>
        </w:rPr>
        <w:t xml:space="preserve">Several prior studies have examined how defaults influence workers’ saving decisions </w:t>
      </w:r>
      <w:r w:rsidR="00D42201" w:rsidRPr="00536876">
        <w:rPr>
          <w:rFonts w:cstheme="minorHAnsi"/>
          <w:highlight w:val="yellow"/>
        </w:rPr>
        <w:t>(c.f. Carroll, Choi, Laibson, Madrian and Metrick, 2009; Choi, Laibson, and Madrian, 2004;Choi, Laibson, Madrian, and Metrick, 2003, 2006; Nessmith, Utkus and Young, 2007)</w:t>
      </w:r>
      <w:r w:rsidR="00D42201" w:rsidRPr="00536876">
        <w:rPr>
          <w:rFonts w:cstheme="minorHAnsi"/>
        </w:rPr>
        <w:t>.</w:t>
      </w:r>
      <w:r w:rsidR="00D42201" w:rsidRPr="00536876">
        <w:rPr>
          <w:rFonts w:cstheme="minorHAnsi"/>
        </w:rPr>
        <w:t xml:space="preserve"> </w:t>
      </w:r>
      <w:r w:rsidR="00893AC3" w:rsidRPr="00536876">
        <w:rPr>
          <w:rFonts w:cstheme="minorHAnsi"/>
          <w:color w:val="1C1D1E"/>
          <w:shd w:val="clear" w:color="auto" w:fill="FFFFFF"/>
        </w:rPr>
        <w:t xml:space="preserve">Defaults are one of the most powerful elements of choice architecture because there is considerable evidence showing that people often choose the default </w:t>
      </w:r>
      <w:r w:rsidR="00893AC3" w:rsidRPr="00536876">
        <w:rPr>
          <w:rFonts w:cstheme="minorHAnsi"/>
          <w:color w:val="1C1D1E"/>
          <w:highlight w:val="yellow"/>
          <w:shd w:val="clear" w:color="auto" w:fill="FFFFFF"/>
        </w:rPr>
        <w:t>(Jachimowicz, Duncan, Weber, &amp; Johnson, </w:t>
      </w:r>
      <w:hyperlink r:id="rId12" w:anchor="bdm2122-bib-0048" w:history="1">
        <w:r w:rsidR="00893AC3" w:rsidRPr="00536876">
          <w:rPr>
            <w:rStyle w:val="Hyperlink"/>
            <w:rFonts w:cstheme="minorHAnsi"/>
            <w:b/>
            <w:bCs/>
            <w:color w:val="000000"/>
            <w:highlight w:val="yellow"/>
          </w:rPr>
          <w:t>2019</w:t>
        </w:r>
      </w:hyperlink>
      <w:r w:rsidR="00893AC3" w:rsidRPr="00536876">
        <w:rPr>
          <w:rFonts w:cstheme="minorHAnsi"/>
          <w:color w:val="1C1D1E"/>
          <w:highlight w:val="yellow"/>
          <w:shd w:val="clear" w:color="auto" w:fill="FFFFFF"/>
        </w:rPr>
        <w:t>; Johnson et al., </w:t>
      </w:r>
      <w:hyperlink r:id="rId13" w:anchor="bdm2122-bib-0051" w:history="1">
        <w:r w:rsidR="00893AC3" w:rsidRPr="00536876">
          <w:rPr>
            <w:rStyle w:val="Hyperlink"/>
            <w:rFonts w:cstheme="minorHAnsi"/>
            <w:b/>
            <w:bCs/>
            <w:color w:val="000000"/>
            <w:highlight w:val="yellow"/>
          </w:rPr>
          <w:t>2012</w:t>
        </w:r>
      </w:hyperlink>
      <w:r w:rsidR="00893AC3" w:rsidRPr="00536876">
        <w:rPr>
          <w:rFonts w:cstheme="minorHAnsi"/>
          <w:color w:val="1C1D1E"/>
          <w:highlight w:val="yellow"/>
          <w:shd w:val="clear" w:color="auto" w:fill="FFFFFF"/>
        </w:rPr>
        <w:t>; Johnson &amp; Goldstein, </w:t>
      </w:r>
      <w:hyperlink r:id="rId14" w:anchor="bdm2122-bib-0050" w:history="1">
        <w:r w:rsidR="00893AC3" w:rsidRPr="00536876">
          <w:rPr>
            <w:rStyle w:val="Hyperlink"/>
            <w:rFonts w:cstheme="minorHAnsi"/>
            <w:b/>
            <w:bCs/>
            <w:color w:val="000000"/>
            <w:highlight w:val="yellow"/>
          </w:rPr>
          <w:t>2003</w:t>
        </w:r>
      </w:hyperlink>
      <w:r w:rsidR="00893AC3" w:rsidRPr="00536876">
        <w:rPr>
          <w:rFonts w:cstheme="minorHAnsi"/>
          <w:color w:val="1C1D1E"/>
          <w:highlight w:val="yellow"/>
          <w:shd w:val="clear" w:color="auto" w:fill="FFFFFF"/>
        </w:rPr>
        <w:t>),</w:t>
      </w:r>
      <w:r w:rsidR="00893AC3" w:rsidRPr="00536876">
        <w:rPr>
          <w:rFonts w:cstheme="minorHAnsi"/>
          <w:color w:val="1C1D1E"/>
          <w:shd w:val="clear" w:color="auto" w:fill="FFFFFF"/>
        </w:rPr>
        <w:t xml:space="preserve"> particularly in the context of retirement savings </w:t>
      </w:r>
      <w:r w:rsidR="00893AC3" w:rsidRPr="00536876">
        <w:rPr>
          <w:rFonts w:cstheme="minorHAnsi"/>
          <w:color w:val="1C1D1E"/>
          <w:highlight w:val="yellow"/>
          <w:shd w:val="clear" w:color="auto" w:fill="FFFFFF"/>
        </w:rPr>
        <w:t>(Dobrescu et al., </w:t>
      </w:r>
      <w:hyperlink r:id="rId15" w:anchor="bdm2122-bib-0024" w:history="1">
        <w:r w:rsidR="00893AC3" w:rsidRPr="00536876">
          <w:rPr>
            <w:rStyle w:val="Hyperlink"/>
            <w:rFonts w:cstheme="minorHAnsi"/>
            <w:b/>
            <w:bCs/>
            <w:color w:val="000000"/>
            <w:highlight w:val="yellow"/>
          </w:rPr>
          <w:t>2018</w:t>
        </w:r>
      </w:hyperlink>
      <w:r w:rsidR="00893AC3" w:rsidRPr="00536876">
        <w:rPr>
          <w:rFonts w:cstheme="minorHAnsi"/>
          <w:color w:val="1C1D1E"/>
          <w:highlight w:val="yellow"/>
          <w:shd w:val="clear" w:color="auto" w:fill="FFFFFF"/>
        </w:rPr>
        <w:t>).</w:t>
      </w:r>
      <w:r w:rsidR="00054F29" w:rsidRPr="00536876">
        <w:rPr>
          <w:rFonts w:cstheme="minorHAnsi"/>
          <w:color w:val="1C1D1E"/>
          <w:shd w:val="clear" w:color="auto" w:fill="FFFFFF"/>
        </w:rPr>
        <w:t xml:space="preserve"> Also, when people choose a default, they will tend to it and only rarely deviate from it. Defaults can be a useful tool to guide employees to invest into less-risky retirement target-date funds. However, according to Balduzzi et al </w:t>
      </w:r>
      <w:r w:rsidR="00054F29" w:rsidRPr="00536876">
        <w:rPr>
          <w:rFonts w:cstheme="minorHAnsi"/>
        </w:rPr>
        <w:fldChar w:fldCharType="begin"/>
      </w:r>
      <w:r w:rsidR="004D691F" w:rsidRPr="00536876">
        <w:rPr>
          <w:rFonts w:cstheme="minorHAnsi"/>
        </w:rPr>
        <w:instrText xml:space="preserve"> ADDIN ZOTERO_ITEM CSL_CITATION {"citationID":"IUQlnwjv","properties":{"formattedCitation":"(Balduzzi &amp; Reuter, 2019)","plainCitation":"(Balduzzi &amp; Reuter, 2019)","noteIndex":0},"citationItems":[{"id":1243,"uris":["http://zotero.org/users/5598270/items/6ENGWNTA"],"uri":["http://zotero.org/users/5598270/items/6ENGWNTA"],"itemData":{"id":1243,"type":"article-journal","container-title":"The Review of Financial Studies","DOI":"10.1093/rfs/hhy054","ISSN":"0893-9454, 1465-7368","issue":"1","language":"en","page":"300-337","source":"DOI.org (Crossref)","title":"Heterogeneity in Target Date Funds: Strategic Risk-taking or Risk Matching?","title-short":"Heterogeneity in Target Date Funds","volume":"32","author":[{"family":"Balduzzi","given":"Pierluigi"},{"family":"Reuter","given":"Jonathan"}],"issued":{"date-parts":[["2019",1,1]]}}}],"schema":"https://github.com/citation-style-language/schema/raw/master/csl-citation.json"} </w:instrText>
      </w:r>
      <w:r w:rsidR="00054F29" w:rsidRPr="00536876">
        <w:rPr>
          <w:rFonts w:cstheme="minorHAnsi"/>
        </w:rPr>
        <w:fldChar w:fldCharType="separate"/>
      </w:r>
      <w:r w:rsidR="00054F29" w:rsidRPr="00536876">
        <w:rPr>
          <w:rFonts w:cstheme="minorHAnsi"/>
        </w:rPr>
        <w:t>(Balduzzi &amp; Reuter, 2019)</w:t>
      </w:r>
      <w:r w:rsidR="00054F29" w:rsidRPr="00536876">
        <w:rPr>
          <w:rFonts w:cstheme="minorHAnsi"/>
        </w:rPr>
        <w:fldChar w:fldCharType="end"/>
      </w:r>
      <w:r w:rsidR="00054F29" w:rsidRPr="00536876">
        <w:rPr>
          <w:rFonts w:cstheme="minorHAnsi"/>
        </w:rPr>
        <w:t>, there’s a little evidence that the 401(k) plan sponsors consider the different risk profiles (for example their employees), when they choose among the target-date funds. It is possible then that the default option is chosen based on some other criterion than safety, for example short-term returns</w:t>
      </w:r>
      <w:r w:rsidR="00A827B6">
        <w:rPr>
          <w:rFonts w:cstheme="minorHAnsi"/>
        </w:rPr>
        <w:t xml:space="preserve"> </w:t>
      </w:r>
      <w:r w:rsidR="00A827B6">
        <w:fldChar w:fldCharType="begin"/>
      </w:r>
      <w:r w:rsidR="00A827B6">
        <w:instrText xml:space="preserve"> ADDIN ZOTERO_ITEM CSL_CITATION {"citationID":"LaVm7Qzf","properties":{"formattedCitation":"(B\\uc0\\u246{}hnke et al., 2019)","plainCitation":"(Böhnke et al., 2019)","noteIndex":0},"citationItems":[{"id":1239,"uris":["http://zotero.org/users/5598270/items/WL52IAUD"],"uri":["http://zotero.org/users/5598270/items/WL52IAUD"],"itemData":{"id":1239,"type":"article-journal","container-title":"Insights from the Swedish Premium Pension System (June 26, 2019)","title":"Appreciated but Complicated Pension Choices? Insights from the Swedish Premium Pension System","author":[{"family":"Böhnke","given":"Monika"},{"family":"Brüggen","given":"Elisabeth"},{"family":"Post","given":"Thomas"}],"issued":{"date-parts":[["2019"]]}}}],"schema":"https://github.com/citation-style-language/schema/raw/master/csl-citation.json"} </w:instrText>
      </w:r>
      <w:r w:rsidR="00A827B6">
        <w:fldChar w:fldCharType="separate"/>
      </w:r>
      <w:r w:rsidR="00A827B6" w:rsidRPr="00C93F02">
        <w:rPr>
          <w:rFonts w:ascii="Calibri" w:hAnsi="Calibri" w:cs="Calibri"/>
          <w:szCs w:val="24"/>
        </w:rPr>
        <w:t>(Böhnke et al., 2019)</w:t>
      </w:r>
      <w:r w:rsidR="00A827B6">
        <w:fldChar w:fldCharType="end"/>
      </w:r>
      <w:r w:rsidR="00054F29" w:rsidRPr="00536876">
        <w:rPr>
          <w:rFonts w:cstheme="minorHAnsi"/>
        </w:rPr>
        <w:t>. In this case, the default option contributes to the increase of riskiness of the target-date funds.</w:t>
      </w:r>
    </w:p>
    <w:p w14:paraId="10D3FC3F" w14:textId="63F15EFB" w:rsidR="00054F29" w:rsidRDefault="00536876" w:rsidP="00C4444C">
      <w:pPr>
        <w:rPr>
          <w:rFonts w:cstheme="minorHAnsi"/>
          <w:b/>
          <w:bCs/>
          <w:color w:val="1C1D1E"/>
          <w:shd w:val="clear" w:color="auto" w:fill="FFFFFF"/>
        </w:rPr>
      </w:pPr>
      <w:r w:rsidRPr="00536876">
        <w:rPr>
          <w:rFonts w:cstheme="minorHAnsi"/>
          <w:b/>
          <w:bCs/>
          <w:color w:val="1C1D1E"/>
          <w:shd w:val="clear" w:color="auto" w:fill="FFFFFF"/>
        </w:rPr>
        <w:t>Investors’ inertia</w:t>
      </w:r>
    </w:p>
    <w:p w14:paraId="0C1C0985" w14:textId="13337F28" w:rsidR="00D3732E" w:rsidRPr="00935005" w:rsidRDefault="00D3732E" w:rsidP="00D3732E">
      <w:pPr>
        <w:rPr>
          <w:rFonts w:cstheme="minorHAnsi"/>
          <w:color w:val="1C1D1E"/>
          <w:shd w:val="clear" w:color="auto" w:fill="FFFFFF"/>
        </w:rPr>
      </w:pPr>
      <w:r w:rsidRPr="00D3732E">
        <w:rPr>
          <w:rFonts w:cstheme="minorHAnsi"/>
          <w:color w:val="1C1D1E"/>
          <w:shd w:val="clear" w:color="auto" w:fill="FFFFFF"/>
        </w:rPr>
        <w:t>Investor in</w:t>
      </w:r>
      <w:r w:rsidRPr="00BE6FA9">
        <w:rPr>
          <w:rFonts w:cstheme="minorHAnsi"/>
          <w:color w:val="1C1D1E"/>
          <w:shd w:val="clear" w:color="auto" w:fill="FFFFFF"/>
        </w:rPr>
        <w:t xml:space="preserve">ertia and inattentiveness are </w:t>
      </w:r>
      <w:r w:rsidRPr="00BE6FA9">
        <w:rPr>
          <w:rFonts w:cstheme="minorHAnsi"/>
          <w:color w:val="1C1D1E"/>
          <w:shd w:val="clear" w:color="auto" w:fill="FFFFFF"/>
        </w:rPr>
        <w:t>known</w:t>
      </w:r>
      <w:r w:rsidRPr="00BE6FA9">
        <w:rPr>
          <w:rFonts w:cstheme="minorHAnsi"/>
          <w:color w:val="1C1D1E"/>
          <w:shd w:val="clear" w:color="auto" w:fill="FFFFFF"/>
        </w:rPr>
        <w:t xml:space="preserve"> phenomena in pension plans</w:t>
      </w:r>
      <w:r w:rsidRPr="00BE6FA9">
        <w:rPr>
          <w:rFonts w:cstheme="minorHAnsi"/>
          <w:color w:val="1C1D1E"/>
          <w:shd w:val="clear" w:color="auto" w:fill="FFFFFF"/>
        </w:rPr>
        <w:t>, and there’s a lots of prior studies available</w:t>
      </w:r>
      <w:r w:rsidRPr="00BE6FA9">
        <w:rPr>
          <w:rFonts w:cstheme="minorHAnsi"/>
          <w:color w:val="1C1D1E"/>
          <w:shd w:val="clear" w:color="auto" w:fill="FFFFFF"/>
        </w:rPr>
        <w:t xml:space="preserve"> </w:t>
      </w:r>
      <w:r w:rsidRPr="00BE6FA9">
        <w:rPr>
          <w:rFonts w:cstheme="minorHAnsi"/>
          <w:color w:val="1C1D1E"/>
          <w:highlight w:val="yellow"/>
          <w:shd w:val="clear" w:color="auto" w:fill="FFFFFF"/>
        </w:rPr>
        <w:t>(see Samuelson and Zeckhauser, 1998; Madrian and Shea, 2001; Agnew et al., 2003;</w:t>
      </w:r>
      <w:r w:rsidRPr="00BE6FA9">
        <w:rPr>
          <w:rFonts w:cstheme="minorHAnsi"/>
          <w:color w:val="1C1D1E"/>
          <w:highlight w:val="yellow"/>
          <w:shd w:val="clear" w:color="auto" w:fill="FFFFFF"/>
        </w:rPr>
        <w:t xml:space="preserve"> </w:t>
      </w:r>
      <w:r w:rsidRPr="00BE6FA9">
        <w:rPr>
          <w:rFonts w:cstheme="minorHAnsi"/>
          <w:color w:val="1C1D1E"/>
          <w:highlight w:val="yellow"/>
          <w:shd w:val="clear" w:color="auto" w:fill="FFFFFF"/>
        </w:rPr>
        <w:t>Ameriks and Zeldes, 2004; Mitchell et al.,</w:t>
      </w:r>
      <w:r w:rsidRPr="00BE6FA9">
        <w:rPr>
          <w:rFonts w:cstheme="minorHAnsi"/>
          <w:color w:val="1C1D1E"/>
          <w:highlight w:val="yellow"/>
          <w:shd w:val="clear" w:color="auto" w:fill="FFFFFF"/>
        </w:rPr>
        <w:t xml:space="preserve"> </w:t>
      </w:r>
      <w:r w:rsidRPr="00BE6FA9">
        <w:rPr>
          <w:rFonts w:cstheme="minorHAnsi"/>
          <w:color w:val="1C1D1E"/>
          <w:highlight w:val="yellow"/>
          <w:shd w:val="clear" w:color="auto" w:fill="FFFFFF"/>
        </w:rPr>
        <w:t>2006)</w:t>
      </w:r>
      <w:r w:rsidRPr="00BE6FA9">
        <w:rPr>
          <w:rFonts w:cstheme="minorHAnsi"/>
          <w:color w:val="1C1D1E"/>
          <w:shd w:val="clear" w:color="auto" w:fill="FFFFFF"/>
        </w:rPr>
        <w:t xml:space="preserve"> </w:t>
      </w:r>
      <w:r w:rsidRPr="00BE6FA9">
        <w:rPr>
          <w:rFonts w:cstheme="minorHAnsi"/>
          <w:color w:val="1C1D1E"/>
          <w:shd w:val="clear" w:color="auto" w:fill="FFFFFF"/>
        </w:rPr>
        <w:fldChar w:fldCharType="begin"/>
      </w:r>
      <w:r w:rsidR="00B27282">
        <w:rPr>
          <w:rFonts w:cstheme="minorHAnsi"/>
          <w:color w:val="1C1D1E"/>
          <w:shd w:val="clear" w:color="auto" w:fill="FFFFFF"/>
        </w:rPr>
        <w:instrText xml:space="preserve"> ADDIN ZOTERO_ITEM CSL_CITATION {"citationID":"wZTUseXk","properties":{"formattedCitation":"(Dahlquist &amp; Martinez, 2015)","plainCitation":"(Dahlquist &amp; Martinez, 2015)","noteIndex":0},"citationItems":[{"id":1246,"uris":["http://zotero.org/users/5598270/items/6J4HXXME"],"uri":["http://zotero.org/users/5598270/items/6J4HXXME"],"itemData":{"id":1246,"type":"article-journal","abstract":"We investigate inattention on the part of pension plan participants using a dataset covering savings in Sweden’s Premium Pension System. These data permit direct comparison of the investment behaviours of pension and retail mutual fund investors. Unlike retail mutual fund investors, pension investors do not seem to react to past fund performance. This behaviour means that pension investors face a greater risk of being caught in poorly performing funds. Our evidence suggests that inertia and inattention to past performance may translate into poorer investment results for pension investors. We discuss a potential change in the design of deﬁned contribution pension schemes that may mitigate costs for inattentive investors while maintaining ﬂexibility for attentive investors.","container-title":"European Financial Management","DOI":"10.1111/j.1468-036X.2013.12008.x","ISSN":"13547798","issue":"1","journalAbbreviation":"Eur Financial Management","language":"en","page":"1-19","source":"DOI.org (Crossref)","title":"Investor Inattention: A Hidden Cost of Choice in Pension Plans?: Investor Inattention","title-short":"Investor Inattention","volume":"21","author":[{"family":"Dahlquist","given":"Magnus"},{"family":"Martinez","given":"José Vicente"}],"issued":{"date-parts":[["2015",1]]}}}],"schema":"https://github.com/citation-style-language/schema/raw/master/csl-citation.json"} </w:instrText>
      </w:r>
      <w:r w:rsidRPr="00BE6FA9">
        <w:rPr>
          <w:rFonts w:cstheme="minorHAnsi"/>
          <w:color w:val="1C1D1E"/>
          <w:shd w:val="clear" w:color="auto" w:fill="FFFFFF"/>
        </w:rPr>
        <w:fldChar w:fldCharType="separate"/>
      </w:r>
      <w:r w:rsidRPr="00BE6FA9">
        <w:rPr>
          <w:rFonts w:ascii="Calibri" w:hAnsi="Calibri" w:cs="Calibri"/>
        </w:rPr>
        <w:t>(Dahlquist &amp; Martinez, 2015)</w:t>
      </w:r>
      <w:r w:rsidRPr="00BE6FA9">
        <w:rPr>
          <w:rFonts w:cstheme="minorHAnsi"/>
          <w:color w:val="1C1D1E"/>
          <w:shd w:val="clear" w:color="auto" w:fill="FFFFFF"/>
        </w:rPr>
        <w:fldChar w:fldCharType="end"/>
      </w:r>
      <w:r w:rsidRPr="00BE6FA9">
        <w:rPr>
          <w:rFonts w:cstheme="minorHAnsi"/>
          <w:color w:val="1C1D1E"/>
          <w:shd w:val="clear" w:color="auto" w:fill="FFFFFF"/>
        </w:rPr>
        <w:t xml:space="preserve"> </w:t>
      </w:r>
      <w:r w:rsidR="00BE6FA9" w:rsidRPr="00BE6FA9">
        <w:rPr>
          <w:rFonts w:cstheme="minorHAnsi"/>
          <w:color w:val="1C1D1E"/>
          <w:shd w:val="clear" w:color="auto" w:fill="FFFFFF"/>
        </w:rPr>
        <w:t xml:space="preserve">According to Dahlquist and Martinez, </w:t>
      </w:r>
      <w:r w:rsidR="00BE6FA9" w:rsidRPr="00BE6FA9">
        <w:rPr>
          <w:rFonts w:cstheme="minorHAnsi"/>
          <w:color w:val="1C1D1E"/>
          <w:shd w:val="clear" w:color="auto" w:fill="FFFFFF"/>
        </w:rPr>
        <w:fldChar w:fldCharType="begin"/>
      </w:r>
      <w:r w:rsidR="00B27282">
        <w:rPr>
          <w:rFonts w:cstheme="minorHAnsi"/>
          <w:color w:val="1C1D1E"/>
          <w:shd w:val="clear" w:color="auto" w:fill="FFFFFF"/>
        </w:rPr>
        <w:instrText xml:space="preserve"> ADDIN ZOTERO_ITEM CSL_CITATION {"citationID":"INueBBPf","properties":{"formattedCitation":"(Dahlquist &amp; Martinez, 2015)","plainCitation":"(Dahlquist &amp; Martinez, 2015)","noteIndex":0},"citationItems":[{"id":1246,"uris":["http://zotero.org/users/5598270/items/6J4HXXME"],"uri":["http://zotero.org/users/5598270/items/6J4HXXME"],"itemData":{"id":1246,"type":"article-journal","abstract":"We investigate inattention on the part of pension plan participants using a dataset covering savings in Sweden’s Premium Pension System. These data permit direct comparison of the investment behaviours of pension and retail mutual fund investors. Unlike retail mutual fund investors, pension investors do not seem to react to past fund performance. This behaviour means that pension investors face a greater risk of being caught in poorly performing funds. Our evidence suggests that inertia and inattention to past performance may translate into poorer investment results for pension investors. We discuss a potential change in the design of deﬁned contribution pension schemes that may mitigate costs for inattentive investors while maintaining ﬂexibility for attentive investors.","container-title":"European Financial Management","DOI":"10.1111/j.1468-036X.2013.12008.x","ISSN":"13547798","issue":"1","journalAbbreviation":"Eur Financial Management","language":"en","page":"1-19","source":"DOI.org (Crossref)","title":"Investor Inattention: A Hidden Cost of Choice in Pension Plans?: Investor Inattention","title-short":"Investor Inattention","volume":"21","author":[{"family":"Dahlquist","given":"Magnus"},{"family":"Martinez","given":"José Vicente"}],"issued":{"date-parts":[["2015",1]]}}}],"schema":"https://github.com/citation-style-language/schema/raw/master/csl-citation.json"} </w:instrText>
      </w:r>
      <w:r w:rsidR="00BE6FA9" w:rsidRPr="00BE6FA9">
        <w:rPr>
          <w:rFonts w:cstheme="minorHAnsi"/>
          <w:color w:val="1C1D1E"/>
          <w:shd w:val="clear" w:color="auto" w:fill="FFFFFF"/>
        </w:rPr>
        <w:fldChar w:fldCharType="separate"/>
      </w:r>
      <w:r w:rsidR="00BE6FA9" w:rsidRPr="00BE6FA9">
        <w:rPr>
          <w:rFonts w:ascii="Calibri" w:hAnsi="Calibri" w:cs="Calibri"/>
        </w:rPr>
        <w:t>(Dahlquist &amp; Martinez, 2015)</w:t>
      </w:r>
      <w:r w:rsidR="00BE6FA9" w:rsidRPr="00BE6FA9">
        <w:rPr>
          <w:rFonts w:cstheme="minorHAnsi"/>
          <w:color w:val="1C1D1E"/>
          <w:shd w:val="clear" w:color="auto" w:fill="FFFFFF"/>
        </w:rPr>
        <w:fldChar w:fldCharType="end"/>
      </w:r>
      <w:r w:rsidR="00BE6FA9" w:rsidRPr="00BE6FA9">
        <w:rPr>
          <w:rFonts w:cstheme="minorHAnsi"/>
          <w:color w:val="1C1D1E"/>
          <w:shd w:val="clear" w:color="auto" w:fill="FFFFFF"/>
        </w:rPr>
        <w:t>, t</w:t>
      </w:r>
      <w:r w:rsidRPr="00BE6FA9">
        <w:rPr>
          <w:rFonts w:cstheme="minorHAnsi"/>
          <w:color w:val="1C1D1E"/>
          <w:shd w:val="clear" w:color="auto" w:fill="FFFFFF"/>
        </w:rPr>
        <w:t>h</w:t>
      </w:r>
      <w:r w:rsidR="00BE6FA9" w:rsidRPr="00BE6FA9">
        <w:rPr>
          <w:rFonts w:cstheme="minorHAnsi"/>
          <w:color w:val="1C1D1E"/>
          <w:shd w:val="clear" w:color="auto" w:fill="FFFFFF"/>
        </w:rPr>
        <w:t>ere are three distinct reasons for investor’s inertia and inattentiveness</w:t>
      </w:r>
      <w:r w:rsidRPr="00BE6FA9">
        <w:rPr>
          <w:rFonts w:cstheme="minorHAnsi"/>
          <w:color w:val="1C1D1E"/>
          <w:shd w:val="clear" w:color="auto" w:fill="FFFFFF"/>
        </w:rPr>
        <w:t xml:space="preserve">. First, since pension investors are automatically defaulted to the pension plan, some of them might simply not care about the their locked-in savings. Second, </w:t>
      </w:r>
      <w:r w:rsidR="00935005" w:rsidRPr="00BE6FA9">
        <w:rPr>
          <w:rFonts w:cstheme="minorHAnsi"/>
          <w:color w:val="1C1D1E"/>
          <w:shd w:val="clear" w:color="auto" w:fill="FFFFFF"/>
        </w:rPr>
        <w:t>the pension assets tend to be smaller and they a</w:t>
      </w:r>
      <w:r w:rsidR="00935005">
        <w:rPr>
          <w:rFonts w:cstheme="minorHAnsi"/>
          <w:color w:val="1C1D1E"/>
          <w:shd w:val="clear" w:color="auto" w:fill="FFFFFF"/>
        </w:rPr>
        <w:t xml:space="preserve">re locked-in in the fund until the retirement. Investors might have a different mental account for the savings that is perceived not as important, thereby triggering inertia and inattentiveness. </w:t>
      </w:r>
      <w:r>
        <w:rPr>
          <w:rFonts w:cstheme="minorHAnsi"/>
          <w:color w:val="1C1D1E"/>
          <w:shd w:val="clear" w:color="auto" w:fill="FFFFFF"/>
        </w:rPr>
        <w:t xml:space="preserve">Third, the average investor might not be ‘financially literate’ enough, meaning the investor lacks financial knowledge to </w:t>
      </w:r>
      <w:r w:rsidR="00935005">
        <w:rPr>
          <w:rFonts w:cstheme="minorHAnsi"/>
          <w:color w:val="1C1D1E"/>
          <w:shd w:val="clear" w:color="auto" w:fill="FFFFFF"/>
        </w:rPr>
        <w:t xml:space="preserve">make the investment decisions. </w:t>
      </w:r>
      <w:r w:rsidR="00BE6FA9">
        <w:rPr>
          <w:rFonts w:cstheme="minorHAnsi"/>
          <w:color w:val="1C1D1E"/>
          <w:shd w:val="clear" w:color="auto" w:fill="FFFFFF"/>
        </w:rPr>
        <w:t xml:space="preserve">In addition to these reasons, </w:t>
      </w:r>
      <w:r w:rsidR="00935005">
        <w:rPr>
          <w:rFonts w:cstheme="minorHAnsi"/>
          <w:color w:val="1C1D1E"/>
          <w:shd w:val="clear" w:color="auto" w:fill="FFFFFF"/>
        </w:rPr>
        <w:t xml:space="preserve">the perceived safety of the </w:t>
      </w:r>
      <w:r w:rsidR="00BE6FA9">
        <w:rPr>
          <w:rFonts w:cstheme="minorHAnsi"/>
          <w:color w:val="1C1D1E"/>
          <w:shd w:val="clear" w:color="auto" w:fill="FFFFFF"/>
        </w:rPr>
        <w:t xml:space="preserve">investment may also play a role. Since the retirement investments are categorized as a “safe harbor” and they’re offered by the employer, the investors might perceive them as risk-free or low-risk investment, and not pay much attention of their riskiness. </w:t>
      </w:r>
    </w:p>
    <w:p w14:paraId="303EC071" w14:textId="284989AE" w:rsidR="006B28E5" w:rsidRDefault="00536876" w:rsidP="00C4444C">
      <w:pPr>
        <w:rPr>
          <w:rFonts w:cstheme="minorHAnsi"/>
          <w:b/>
          <w:bCs/>
          <w:color w:val="1C1D1E"/>
          <w:shd w:val="clear" w:color="auto" w:fill="FFFFFF"/>
        </w:rPr>
      </w:pPr>
      <w:r w:rsidRPr="00536876">
        <w:rPr>
          <w:rFonts w:cstheme="minorHAnsi"/>
          <w:b/>
          <w:bCs/>
          <w:color w:val="1C1D1E"/>
          <w:shd w:val="clear" w:color="auto" w:fill="FFFFFF"/>
        </w:rPr>
        <w:t>Agency problems</w:t>
      </w:r>
      <w:r w:rsidR="00054F29" w:rsidRPr="00536876">
        <w:rPr>
          <w:rFonts w:cstheme="minorHAnsi"/>
          <w:b/>
          <w:bCs/>
          <w:color w:val="1C1D1E"/>
          <w:shd w:val="clear" w:color="auto" w:fill="FFFFFF"/>
        </w:rPr>
        <w:t xml:space="preserve">  </w:t>
      </w:r>
    </w:p>
    <w:p w14:paraId="5EF44548" w14:textId="17DDCB9F" w:rsidR="00A827B6" w:rsidRDefault="00A827B6" w:rsidP="00C4444C">
      <w:pPr>
        <w:rPr>
          <w:rFonts w:cstheme="minorHAnsi"/>
          <w:color w:val="1C1D1E"/>
          <w:shd w:val="clear" w:color="auto" w:fill="FFFFFF"/>
        </w:rPr>
      </w:pPr>
      <w:r>
        <w:rPr>
          <w:rFonts w:cstheme="minorHAnsi"/>
          <w:color w:val="1C1D1E"/>
          <w:shd w:val="clear" w:color="auto" w:fill="FFFFFF"/>
        </w:rPr>
        <w:t xml:space="preserve">Investors inertia can lead to agency problems. </w:t>
      </w:r>
      <w:r w:rsidR="00B14A1C">
        <w:rPr>
          <w:rFonts w:cstheme="minorHAnsi"/>
          <w:color w:val="1C1D1E"/>
          <w:shd w:val="clear" w:color="auto" w:fill="FFFFFF"/>
        </w:rPr>
        <w:t xml:space="preserve">Investors tend to stick to the default investment option, regardless of the result or the safety concerns. They are not punishing poorly-performing funds by withdrawing their funds, or rewarding well-performing funds by </w:t>
      </w:r>
      <w:r w:rsidR="00A42DCE">
        <w:rPr>
          <w:rFonts w:cstheme="minorHAnsi"/>
          <w:color w:val="1C1D1E"/>
          <w:shd w:val="clear" w:color="auto" w:fill="FFFFFF"/>
        </w:rPr>
        <w:t xml:space="preserve">moving their assets into them. This is evident by the increasing cashflows into both poorly- and well-performing funds </w:t>
      </w:r>
      <w:r w:rsidR="00A42DCE">
        <w:rPr>
          <w:rFonts w:cstheme="minorHAnsi"/>
          <w:color w:val="1C1D1E"/>
          <w:shd w:val="clear" w:color="auto" w:fill="FFFFFF"/>
        </w:rPr>
        <w:fldChar w:fldCharType="begin"/>
      </w:r>
      <w:r w:rsidR="00A42DCE">
        <w:rPr>
          <w:rFonts w:cstheme="minorHAnsi"/>
          <w:color w:val="1C1D1E"/>
          <w:shd w:val="clear" w:color="auto" w:fill="FFFFFF"/>
        </w:rPr>
        <w:instrText xml:space="preserve"> ADDIN ZOTERO_ITEM CSL_CITATION {"citationID":"MNDEnXDH","properties":{"formattedCitation":"(Kilgour, 2019)","plainCitation":"(Kilgour, 2019)","noteIndex":0},"citationItems":[{"id":1180,"uris":["http://zotero.org/users/5598270/items/P8X5T6E2"],"uri":["http://zotero.org/users/5598270/items/P8X5T6E2"],"itemData":{"id":1180,"type":"article-journal","abstract":"Traditional employer-sponsored defined-benefit pension plans in the private sector that provided lifetime benefits have declined precipitously since 1985. They have been largely replaced by Section 401(k) plans in which investment control, market risk and longevity risk have been transferred from the employer to the participant. Most participants opted for the low-yielding money market plan default option, which proved inadequate for providing viable retirement income. The Pension Reform Act of 2006 made two important changes to 401(k) plans: (1) allowed automatic enrollment and (2) allowed target-date funds as a “qualified default investment alternative.” This article examines the evolution from defined-benefit pensions to target-date funds and the closely related collective investment trusts.","container-title":"Compensation &amp; Benefits Review","DOI":"10.1177/0886368719864480","ISSN":"0886-3687, 1552-3837","issue":"2","journalAbbreviation":"Compensation &amp; Benefits Review","language":"en","page":"77-85","source":"DOI.org (Crossref)","title":"The Evolution of Private Sector Retirement Income From Defined-Benefit Pensions to Target-Date 401(k) Plans","volume":"51","author":[{"family":"Kilgour","given":"John G."}],"issued":{"date-parts":[["2019",4]]}}}],"schema":"https://github.com/citation-style-language/schema/raw/master/csl-citation.json"} </w:instrText>
      </w:r>
      <w:r w:rsidR="00A42DCE">
        <w:rPr>
          <w:rFonts w:cstheme="minorHAnsi"/>
          <w:color w:val="1C1D1E"/>
          <w:shd w:val="clear" w:color="auto" w:fill="FFFFFF"/>
        </w:rPr>
        <w:fldChar w:fldCharType="separate"/>
      </w:r>
      <w:r w:rsidR="00A42DCE" w:rsidRPr="00A827B6">
        <w:rPr>
          <w:rFonts w:ascii="Calibri" w:hAnsi="Calibri" w:cs="Calibri"/>
        </w:rPr>
        <w:t>(Kilgour, 2019)</w:t>
      </w:r>
      <w:r w:rsidR="00A42DCE">
        <w:rPr>
          <w:rFonts w:cstheme="minorHAnsi"/>
          <w:color w:val="1C1D1E"/>
          <w:shd w:val="clear" w:color="auto" w:fill="FFFFFF"/>
        </w:rPr>
        <w:fldChar w:fldCharType="end"/>
      </w:r>
      <w:r w:rsidR="00A42DCE">
        <w:rPr>
          <w:rFonts w:cstheme="minorHAnsi"/>
          <w:color w:val="1C1D1E"/>
          <w:shd w:val="clear" w:color="auto" w:fill="FFFFFF"/>
        </w:rPr>
        <w:t xml:space="preserve"> </w:t>
      </w:r>
      <w:r w:rsidR="00A42DCE">
        <w:rPr>
          <w:rFonts w:cstheme="minorHAnsi"/>
          <w:color w:val="1C1D1E"/>
          <w:shd w:val="clear" w:color="auto" w:fill="FFFFFF"/>
        </w:rPr>
        <w:fldChar w:fldCharType="begin"/>
      </w:r>
      <w:r w:rsidR="00A42DCE">
        <w:rPr>
          <w:rFonts w:cstheme="minorHAnsi"/>
          <w:color w:val="1C1D1E"/>
          <w:shd w:val="clear" w:color="auto" w:fill="FFFFFF"/>
        </w:rPr>
        <w:instrText xml:space="preserve"> ADDIN ZOTERO_ITEM CSL_CITATION {"citationID":"K6LbosdP","properties":{"formattedCitation":"(Dahlquist &amp; Martinez, 2015)","plainCitation":"(Dahlquist &amp; Martinez, 2015)","noteIndex":0},"citationItems":[{"id":1246,"uris":["http://zotero.org/users/5598270/items/6J4HXXME"],"uri":["http://zotero.org/users/5598270/items/6J4HXXME"],"itemData":{"id":1246,"type":"article-journal","abstract":"We investigate inattention on the part of pension plan participants using a dataset covering savings in Sweden’s Premium Pension System. These data permit direct comparison of the investment behaviours of pension and retail mutual fund investors. Unlike retail mutual fund investors, pension investors do not seem to react to past fund performance. This behaviour means that pension investors face a greater risk of being caught in poorly performing funds. Our evidence suggests that inertia and inattention to past performance may translate into poorer investment results for pension investors. We discuss a potential change in the design of deﬁned contribution pension schemes that may mitigate costs for inattentive investors while maintaining ﬂexibility for attentive investors.","container-title":"European Financial Management","DOI":"10.1111/j.1468-036X.2013.12008.x","ISSN":"13547798","issue":"1","journalAbbreviation":"Eur Financial Management","language":"en","page":"1-19","source":"DOI.org (Crossref)","title":"Investor Inattention: A Hidden Cost of Choice in Pension Plans?: Investor Inattention","title-short":"Investor Inattention","volume":"21","author":[{"family":"Dahlquist","given":"Magnus"},{"family":"Martinez","given":"José Vicente"}],"issued":{"date-parts":[["2015",1]]}}}],"schema":"https://github.com/citation-style-language/schema/raw/master/csl-citation.json"} </w:instrText>
      </w:r>
      <w:r w:rsidR="00A42DCE">
        <w:rPr>
          <w:rFonts w:cstheme="minorHAnsi"/>
          <w:color w:val="1C1D1E"/>
          <w:shd w:val="clear" w:color="auto" w:fill="FFFFFF"/>
        </w:rPr>
        <w:fldChar w:fldCharType="separate"/>
      </w:r>
      <w:r w:rsidR="00A42DCE" w:rsidRPr="00A827B6">
        <w:rPr>
          <w:rFonts w:ascii="Calibri" w:hAnsi="Calibri" w:cs="Calibri"/>
        </w:rPr>
        <w:t>(Dahlquist &amp; Martinez, 2015)</w:t>
      </w:r>
      <w:r w:rsidR="00A42DCE">
        <w:rPr>
          <w:rFonts w:cstheme="minorHAnsi"/>
          <w:color w:val="1C1D1E"/>
          <w:shd w:val="clear" w:color="auto" w:fill="FFFFFF"/>
        </w:rPr>
        <w:fldChar w:fldCharType="end"/>
      </w:r>
      <w:r w:rsidR="00A42DCE">
        <w:rPr>
          <w:rFonts w:cstheme="minorHAnsi"/>
          <w:color w:val="1C1D1E"/>
          <w:shd w:val="clear" w:color="auto" w:fill="FFFFFF"/>
        </w:rPr>
        <w:t xml:space="preserve">. This behavior can potentially lead to agency problem, where fund managers have a weak incentive to outperform their peers </w:t>
      </w:r>
      <w:r w:rsidR="00A42DCE">
        <w:rPr>
          <w:rFonts w:cstheme="minorHAnsi"/>
          <w:color w:val="1C1D1E"/>
          <w:shd w:val="clear" w:color="auto" w:fill="FFFFFF"/>
        </w:rPr>
        <w:t xml:space="preserve"> </w:t>
      </w:r>
      <w:r w:rsidR="00A42DCE">
        <w:rPr>
          <w:rFonts w:cstheme="minorHAnsi"/>
          <w:color w:val="1C1D1E"/>
          <w:shd w:val="clear" w:color="auto" w:fill="FFFFFF"/>
        </w:rPr>
        <w:fldChar w:fldCharType="begin"/>
      </w:r>
      <w:r w:rsidR="00A42DCE">
        <w:rPr>
          <w:rFonts w:cstheme="minorHAnsi"/>
          <w:color w:val="1C1D1E"/>
          <w:shd w:val="clear" w:color="auto" w:fill="FFFFFF"/>
        </w:rPr>
        <w:instrText xml:space="preserve"> ADDIN ZOTERO_ITEM CSL_CITATION {"citationID":"jIcdfjNb","properties":{"formattedCitation":"(Sandhya, n.d.)","plainCitation":"(Sandhya, n.d.)","noteIndex":0},"citationItems":[{"id":1167,"uris":["http://zotero.org/users/5598270/items/JVXQU5UZ"],"uri":["http://zotero.org/users/5598270/items/JVXQU5UZ"],"itemData":{"id":1167,"type":"article-journal","abstract":"Target-Date Funds (TDFs) facilitate retirement planning by varying asset allocation over time with the goal of reducing portfolio risk. We explore potential agency problems in TDFs by examining their return performance and ﬂow-performance relation. We ﬁnd that TDFs under-perform balanced funds (BFs) which are also approved as a default option along with TDFs in 401(k) plans with automatic enrollment. We show that the under-performance is driven by TDFs that have a fund-of-fund structure and constituent funds with high expense ratios or poor performance within the fund family. Additionally, we discover an absence of ﬂow-performance relation in TDFs while BFs exhibit the convex ﬂow-performance relation shown for mutual funds. Our evidence suggests the presence of agency problems in TDFs arising from investor inertia, weak incentives for fund managers to outperform peers, and opportunities for fund families to gain private beneﬁts.","language":"en","page":"50","source":"Zotero","title":"Agency Problems in Target-Date Funds","author":[{"family":"Sandhya","given":"Vallapuzha V"}]}}],"schema":"https://github.com/citation-style-language/schema/raw/master/csl-citation.json"} </w:instrText>
      </w:r>
      <w:r w:rsidR="00A42DCE">
        <w:rPr>
          <w:rFonts w:cstheme="minorHAnsi"/>
          <w:color w:val="1C1D1E"/>
          <w:shd w:val="clear" w:color="auto" w:fill="FFFFFF"/>
        </w:rPr>
        <w:fldChar w:fldCharType="separate"/>
      </w:r>
      <w:r w:rsidR="00A42DCE" w:rsidRPr="00A827B6">
        <w:rPr>
          <w:rFonts w:ascii="Calibri" w:hAnsi="Calibri" w:cs="Calibri"/>
        </w:rPr>
        <w:t>(Sandhya, n.d.)</w:t>
      </w:r>
      <w:r w:rsidR="00A42DCE">
        <w:rPr>
          <w:rFonts w:cstheme="minorHAnsi"/>
          <w:color w:val="1C1D1E"/>
          <w:shd w:val="clear" w:color="auto" w:fill="FFFFFF"/>
        </w:rPr>
        <w:fldChar w:fldCharType="end"/>
      </w:r>
      <w:r w:rsidR="00A42DCE">
        <w:rPr>
          <w:rFonts w:cstheme="minorHAnsi"/>
          <w:color w:val="1C1D1E"/>
          <w:shd w:val="clear" w:color="auto" w:fill="FFFFFF"/>
        </w:rPr>
        <w:t>.</w:t>
      </w:r>
    </w:p>
    <w:p w14:paraId="0D17F24A" w14:textId="3FAA0F2E" w:rsidR="00C4752C" w:rsidRDefault="00A42DCE" w:rsidP="00C4752C">
      <w:r w:rsidRPr="00C4752C">
        <w:rPr>
          <w:rFonts w:cstheme="minorHAnsi"/>
          <w:color w:val="1C1D1E"/>
          <w:shd w:val="clear" w:color="auto" w:fill="FFFFFF"/>
        </w:rPr>
        <w:lastRenderedPageBreak/>
        <w:t>Another problem regarding the riskiness of the funds is that funds can be susceptible to litigations if their investment style deviates too much from others.</w:t>
      </w:r>
      <w:r w:rsidR="00C4752C" w:rsidRPr="00C4752C">
        <w:rPr>
          <w:rFonts w:cstheme="minorHAnsi"/>
          <w:color w:val="1C1D1E"/>
          <w:shd w:val="clear" w:color="auto" w:fill="FFFFFF"/>
        </w:rPr>
        <w:t xml:space="preserve"> </w:t>
      </w:r>
      <w:r w:rsidR="00C4752C" w:rsidRPr="009C5416">
        <w:t>The Employee Retirement Income Security Act of 1974 (ERISA)</w:t>
      </w:r>
      <w:r w:rsidR="00C4752C">
        <w:t xml:space="preserve"> </w:t>
      </w:r>
      <w:r w:rsidR="00C4752C" w:rsidRPr="009C5416">
        <w:t>establishes fiduciary duties for those who manage and control these plans, and gives participants the right to sue plan fiduciaries for breach of their duty</w:t>
      </w:r>
      <w:r w:rsidR="00C4752C">
        <w:t xml:space="preserve"> </w:t>
      </w:r>
      <w:r w:rsidR="00C4752C">
        <w:fldChar w:fldCharType="begin"/>
      </w:r>
      <w:r w:rsidR="00C4752C">
        <w:instrText xml:space="preserve"> ADDIN ZOTERO_ITEM CSL_CITATION {"citationID":"55DzKErB","properties":{"formattedCitation":"(Cusano, 2019)","plainCitation":"(Cusano, 2019)","noteIndex":0},"citationItems":[{"id":1241,"uris":["http://zotero.org/users/5598270/items/Z34WFXRX"],"uri":["http://zotero.org/users/5598270/items/Z34WFXRX"],"itemData":{"id":1241,"type":"article-journal","container-title":"SSRN Electronic Journal","DOI":"10.2139/ssrn.3506849","ISSN":"1556-5068","journalAbbreviation":"SSRN Journal","language":"en","source":"DOI.org (Crossref)","title":"The Rise the Duty of Prudence and Demise of the Large-Menu Defense: An Update on Recent Erisa Litigation and Divane v. Northwestern","title-short":"The Rise the Duty of Prudence and Demise of the Large-Menu Defense","URL":"https://www.ssrn.com/abstract=3506849","author":[{"family":"Cusano","given":"Louis"}],"accessed":{"date-parts":[["2020",11,7]]},"issued":{"date-parts":[["2019"]]}}}],"schema":"https://github.com/citation-style-language/schema/raw/master/csl-citation.json"} </w:instrText>
      </w:r>
      <w:r w:rsidR="00C4752C">
        <w:fldChar w:fldCharType="separate"/>
      </w:r>
      <w:r w:rsidR="00C4752C" w:rsidRPr="00C4752C">
        <w:rPr>
          <w:rFonts w:ascii="Calibri" w:hAnsi="Calibri" w:cs="Calibri"/>
        </w:rPr>
        <w:t>(Cusano, 2019)</w:t>
      </w:r>
      <w:r w:rsidR="00C4752C">
        <w:fldChar w:fldCharType="end"/>
      </w:r>
      <w:r w:rsidR="00C4752C">
        <w:t xml:space="preserve"> </w:t>
      </w:r>
      <w:r w:rsidR="00C4752C">
        <w:t xml:space="preserve">If </w:t>
      </w:r>
      <w:r w:rsidR="00C4752C">
        <w:t xml:space="preserve">fund’s </w:t>
      </w:r>
      <w:r w:rsidR="00C4752C">
        <w:t>performance is worse than the benchmark, or the asset classes in the portfolio deviates from the rest</w:t>
      </w:r>
      <w:r w:rsidR="00C4752C">
        <w:t xml:space="preserve">. Less-equity heavy or hedged investment portfolio can have lower returns than the peers, which can trigger a litigation. This can lessen the motivation for less-risky investment and encourage herding effect, where funds have similar investment strategies, since </w:t>
      </w:r>
      <w:r w:rsidR="004C06FD">
        <w:t>it is safer to follow the rest</w:t>
      </w:r>
      <w:r w:rsidR="00C4752C">
        <w:t xml:space="preserve">. </w:t>
      </w:r>
    </w:p>
    <w:p w14:paraId="32D94B42" w14:textId="5AABF432" w:rsidR="00A42DCE" w:rsidRDefault="000807A2" w:rsidP="00C4444C">
      <w:pPr>
        <w:rPr>
          <w:rFonts w:cstheme="minorHAnsi"/>
          <w:color w:val="1C1D1E"/>
          <w:shd w:val="clear" w:color="auto" w:fill="FFFFFF"/>
        </w:rPr>
      </w:pPr>
      <w:r w:rsidRPr="000807A2">
        <w:rPr>
          <w:rFonts w:cstheme="minorHAnsi"/>
          <w:b/>
          <w:bCs/>
          <w:color w:val="1C1D1E"/>
          <w:shd w:val="clear" w:color="auto" w:fill="FFFFFF"/>
        </w:rPr>
        <w:t>What next?</w:t>
      </w:r>
    </w:p>
    <w:p w14:paraId="11C3FABC" w14:textId="77C08C85" w:rsidR="000807A2" w:rsidRDefault="000807A2" w:rsidP="00C4444C">
      <w:pPr>
        <w:rPr>
          <w:rFonts w:cstheme="minorHAnsi"/>
          <w:color w:val="1C1D1E"/>
          <w:shd w:val="clear" w:color="auto" w:fill="FFFFFF"/>
        </w:rPr>
      </w:pPr>
    </w:p>
    <w:p w14:paraId="30DBB1B8" w14:textId="773DACCB" w:rsidR="000807A2" w:rsidRDefault="000807A2" w:rsidP="00C4444C">
      <w:pPr>
        <w:rPr>
          <w:rFonts w:cstheme="minorHAnsi"/>
          <w:color w:val="1C1D1E"/>
          <w:shd w:val="clear" w:color="auto" w:fill="FFFFFF"/>
        </w:rPr>
      </w:pPr>
    </w:p>
    <w:p w14:paraId="141AD67E" w14:textId="6D60CEBB" w:rsidR="000807A2" w:rsidRDefault="000807A2" w:rsidP="00C4444C">
      <w:pPr>
        <w:rPr>
          <w:rFonts w:cstheme="minorHAnsi"/>
          <w:color w:val="1C1D1E"/>
          <w:shd w:val="clear" w:color="auto" w:fill="FFFFFF"/>
        </w:rPr>
      </w:pPr>
      <w:r w:rsidRPr="000807A2">
        <w:rPr>
          <w:rFonts w:cstheme="minorHAnsi"/>
          <w:b/>
          <w:bCs/>
          <w:color w:val="1C1D1E"/>
          <w:shd w:val="clear" w:color="auto" w:fill="FFFFFF"/>
        </w:rPr>
        <w:t>Mini-conclusion</w:t>
      </w:r>
    </w:p>
    <w:p w14:paraId="35E7BC38" w14:textId="0C6178C6" w:rsidR="000807A2" w:rsidRPr="000807A2" w:rsidRDefault="000807A2" w:rsidP="00C4444C">
      <w:pPr>
        <w:rPr>
          <w:rFonts w:cstheme="minorHAnsi"/>
          <w:color w:val="1C1D1E"/>
          <w:shd w:val="clear" w:color="auto" w:fill="FFFFFF"/>
        </w:rPr>
      </w:pPr>
    </w:p>
    <w:p w14:paraId="6D3E50E0" w14:textId="77777777" w:rsidR="00A827B6" w:rsidRDefault="00A827B6" w:rsidP="00C4444C">
      <w:pPr>
        <w:rPr>
          <w:rFonts w:cstheme="minorHAnsi"/>
          <w:color w:val="1C1D1E"/>
          <w:shd w:val="clear" w:color="auto" w:fill="FFFFFF"/>
        </w:rPr>
      </w:pPr>
    </w:p>
    <w:p w14:paraId="551D22FB" w14:textId="57CC981C" w:rsidR="00536876" w:rsidRDefault="00536876" w:rsidP="00C4444C">
      <w:pPr>
        <w:rPr>
          <w:rFonts w:cstheme="minorHAnsi"/>
          <w:color w:val="1C1D1E"/>
          <w:shd w:val="clear" w:color="auto" w:fill="FFFFFF"/>
        </w:rPr>
      </w:pPr>
      <w:r>
        <w:rPr>
          <w:rFonts w:cstheme="minorHAnsi"/>
          <w:color w:val="1C1D1E"/>
          <w:shd w:val="clear" w:color="auto" w:fill="FFFFFF"/>
        </w:rPr>
        <w:t>Cashflows growing, investors don’t punish or reward</w:t>
      </w:r>
    </w:p>
    <w:p w14:paraId="07AE4A4E" w14:textId="0AB18DBA" w:rsidR="00536876" w:rsidRDefault="00536876" w:rsidP="00536876">
      <w:pPr>
        <w:pStyle w:val="ListParagraph"/>
        <w:numPr>
          <w:ilvl w:val="0"/>
          <w:numId w:val="1"/>
        </w:numPr>
        <w:rPr>
          <w:rFonts w:cstheme="minorHAnsi"/>
          <w:color w:val="1C1D1E"/>
          <w:shd w:val="clear" w:color="auto" w:fill="FFFFFF"/>
        </w:rPr>
      </w:pPr>
      <w:r>
        <w:rPr>
          <w:rFonts w:cstheme="minorHAnsi"/>
          <w:color w:val="1C1D1E"/>
          <w:shd w:val="clear" w:color="auto" w:fill="FFFFFF"/>
        </w:rPr>
        <w:t>Weak incentive</w:t>
      </w:r>
    </w:p>
    <w:p w14:paraId="59F57425" w14:textId="77777777" w:rsidR="00A827B6" w:rsidRPr="00A827B6" w:rsidRDefault="00A827B6" w:rsidP="00A827B6">
      <w:pPr>
        <w:pStyle w:val="ListParagraph"/>
        <w:numPr>
          <w:ilvl w:val="0"/>
          <w:numId w:val="1"/>
        </w:numPr>
        <w:rPr>
          <w:rFonts w:cstheme="minorHAnsi"/>
          <w:color w:val="1C1D1E"/>
          <w:shd w:val="clear" w:color="auto" w:fill="FFFFFF"/>
        </w:rPr>
      </w:pPr>
      <w:r w:rsidRPr="00A827B6">
        <w:rPr>
          <w:rFonts w:cstheme="minorHAnsi"/>
          <w:color w:val="1C1D1E"/>
          <w:shd w:val="clear" w:color="auto" w:fill="FFFFFF"/>
        </w:rPr>
        <w:t>A potential reason for agency problems in TDFs is that flows do not respond to past performance indicating that investors neither reward good performance nor punish poor</w:t>
      </w:r>
    </w:p>
    <w:p w14:paraId="5896BEDC" w14:textId="4DBF1D65" w:rsidR="00A827B6" w:rsidRDefault="00A827B6" w:rsidP="00A827B6">
      <w:pPr>
        <w:pStyle w:val="ListParagraph"/>
        <w:rPr>
          <w:rFonts w:cstheme="minorHAnsi"/>
          <w:color w:val="1C1D1E"/>
          <w:shd w:val="clear" w:color="auto" w:fill="FFFFFF"/>
        </w:rPr>
      </w:pPr>
      <w:r w:rsidRPr="00A827B6">
        <w:rPr>
          <w:rFonts w:cstheme="minorHAnsi"/>
          <w:color w:val="1C1D1E"/>
          <w:shd w:val="clear" w:color="auto" w:fill="FFFFFF"/>
        </w:rPr>
        <w:t>performance.</w:t>
      </w:r>
      <w:r>
        <w:rPr>
          <w:rFonts w:cstheme="minorHAnsi"/>
          <w:color w:val="1C1D1E"/>
          <w:shd w:val="clear" w:color="auto" w:fill="FFFFFF"/>
        </w:rPr>
        <w:t xml:space="preserve"> </w:t>
      </w:r>
      <w:r>
        <w:rPr>
          <w:rFonts w:cstheme="minorHAnsi"/>
          <w:color w:val="1C1D1E"/>
          <w:shd w:val="clear" w:color="auto" w:fill="FFFFFF"/>
        </w:rPr>
        <w:fldChar w:fldCharType="begin"/>
      </w:r>
      <w:r>
        <w:rPr>
          <w:rFonts w:cstheme="minorHAnsi"/>
          <w:color w:val="1C1D1E"/>
          <w:shd w:val="clear" w:color="auto" w:fill="FFFFFF"/>
        </w:rPr>
        <w:instrText xml:space="preserve"> ADDIN ZOTERO_ITEM CSL_CITATION {"citationID":"jIcdfjNb","properties":{"formattedCitation":"(Sandhya, n.d.)","plainCitation":"(Sandhya, n.d.)","noteIndex":0},"citationItems":[{"id":1167,"uris":["http://zotero.org/users/5598270/items/JVXQU5UZ"],"uri":["http://zotero.org/users/5598270/items/JVXQU5UZ"],"itemData":{"id":1167,"type":"article-journal","abstract":"Target-Date Funds (TDFs) facilitate retirement planning by varying asset allocation over time with the goal of reducing portfolio risk. We explore potential agency problems in TDFs by examining their return performance and ﬂow-performance relation. We ﬁnd that TDFs under-perform balanced funds (BFs) which are also approved as a default option along with TDFs in 401(k) plans with automatic enrollment. We show that the under-performance is driven by TDFs that have a fund-of-fund structure and constituent funds with high expense ratios or poor performance within the fund family. Additionally, we discover an absence of ﬂow-performance relation in TDFs while BFs exhibit the convex ﬂow-performance relation shown for mutual funds. Our evidence suggests the presence of agency problems in TDFs arising from investor inertia, weak incentives for fund managers to outperform peers, and opportunities for fund families to gain private beneﬁts.","language":"en","page":"50","source":"Zotero","title":"Agency Problems in Target-Date Funds","author":[{"family":"Sandhya","given":"Vallapuzha V"}]}}],"schema":"https://github.com/citation-style-language/schema/raw/master/csl-citation.json"} </w:instrText>
      </w:r>
      <w:r>
        <w:rPr>
          <w:rFonts w:cstheme="minorHAnsi"/>
          <w:color w:val="1C1D1E"/>
          <w:shd w:val="clear" w:color="auto" w:fill="FFFFFF"/>
        </w:rPr>
        <w:fldChar w:fldCharType="separate"/>
      </w:r>
      <w:r w:rsidRPr="00A827B6">
        <w:rPr>
          <w:rFonts w:ascii="Calibri" w:hAnsi="Calibri" w:cs="Calibri"/>
        </w:rPr>
        <w:t>(Sandhya, n.d.)</w:t>
      </w:r>
      <w:r>
        <w:rPr>
          <w:rFonts w:cstheme="minorHAnsi"/>
          <w:color w:val="1C1D1E"/>
          <w:shd w:val="clear" w:color="auto" w:fill="FFFFFF"/>
        </w:rPr>
        <w:fldChar w:fldCharType="end"/>
      </w:r>
    </w:p>
    <w:p w14:paraId="37D785C2" w14:textId="623323B0" w:rsidR="00A827B6" w:rsidRDefault="00A827B6" w:rsidP="00A827B6">
      <w:pPr>
        <w:pStyle w:val="ListParagraph"/>
        <w:rPr>
          <w:rFonts w:cstheme="minorHAnsi"/>
          <w:color w:val="1C1D1E"/>
          <w:shd w:val="clear" w:color="auto" w:fill="FFFFFF"/>
        </w:rPr>
      </w:pPr>
    </w:p>
    <w:p w14:paraId="5EED0A53" w14:textId="78173288" w:rsidR="00A827B6" w:rsidRPr="00536876" w:rsidRDefault="00A827B6" w:rsidP="00A827B6">
      <w:pPr>
        <w:pStyle w:val="ListParagraph"/>
        <w:rPr>
          <w:rFonts w:cstheme="minorHAnsi"/>
          <w:color w:val="1C1D1E"/>
          <w:shd w:val="clear" w:color="auto" w:fill="FFFFFF"/>
        </w:rPr>
      </w:pPr>
      <w:r>
        <w:rPr>
          <w:rFonts w:cstheme="minorHAnsi"/>
          <w:color w:val="1C1D1E"/>
          <w:shd w:val="clear" w:color="auto" w:fill="FFFFFF"/>
        </w:rPr>
        <w:t xml:space="preserve">net cashflows growing </w:t>
      </w:r>
      <w:r>
        <w:rPr>
          <w:rFonts w:cstheme="minorHAnsi"/>
          <w:color w:val="1C1D1E"/>
          <w:shd w:val="clear" w:color="auto" w:fill="FFFFFF"/>
        </w:rPr>
        <w:fldChar w:fldCharType="begin"/>
      </w:r>
      <w:r>
        <w:rPr>
          <w:rFonts w:cstheme="minorHAnsi"/>
          <w:color w:val="1C1D1E"/>
          <w:shd w:val="clear" w:color="auto" w:fill="FFFFFF"/>
        </w:rPr>
        <w:instrText xml:space="preserve"> ADDIN ZOTERO_ITEM CSL_CITATION {"citationID":"MNDEnXDH","properties":{"formattedCitation":"(Kilgour, 2019)","plainCitation":"(Kilgour, 2019)","noteIndex":0},"citationItems":[{"id":1180,"uris":["http://zotero.org/users/5598270/items/P8X5T6E2"],"uri":["http://zotero.org/users/5598270/items/P8X5T6E2"],"itemData":{"id":1180,"type":"article-journal","abstract":"Traditional employer-sponsored defined-benefit pension plans in the private sector that provided lifetime benefits have declined precipitously since 1985. They have been largely replaced by Section 401(k) plans in which investment control, market risk and longevity risk have been transferred from the employer to the participant. Most participants opted for the low-yielding money market plan default option, which proved inadequate for providing viable retirement income. The Pension Reform Act of 2006 made two important changes to 401(k) plans: (1) allowed automatic enrollment and (2) allowed target-date funds as a “qualified default investment alternative.” This article examines the evolution from defined-benefit pensions to target-date funds and the closely related collective investment trusts.","container-title":"Compensation &amp; Benefits Review","DOI":"10.1177/0886368719864480","ISSN":"0886-3687, 1552-3837","issue":"2","journalAbbreviation":"Compensation &amp; Benefits Review","language":"en","page":"77-85","source":"DOI.org (Crossref)","title":"The Evolution of Private Sector Retirement Income From Defined-Benefit Pensions to Target-Date 401(k) Plans","volume":"51","author":[{"family":"Kilgour","given":"John G."}],"issued":{"date-parts":[["2019",4]]}}}],"schema":"https://github.com/citation-style-language/schema/raw/master/csl-citation.json"} </w:instrText>
      </w:r>
      <w:r>
        <w:rPr>
          <w:rFonts w:cstheme="minorHAnsi"/>
          <w:color w:val="1C1D1E"/>
          <w:shd w:val="clear" w:color="auto" w:fill="FFFFFF"/>
        </w:rPr>
        <w:fldChar w:fldCharType="separate"/>
      </w:r>
      <w:r w:rsidRPr="00A827B6">
        <w:rPr>
          <w:rFonts w:ascii="Calibri" w:hAnsi="Calibri" w:cs="Calibri"/>
        </w:rPr>
        <w:t>(Kilgour, 2019)</w:t>
      </w:r>
      <w:r>
        <w:rPr>
          <w:rFonts w:cstheme="minorHAnsi"/>
          <w:color w:val="1C1D1E"/>
          <w:shd w:val="clear" w:color="auto" w:fill="FFFFFF"/>
        </w:rPr>
        <w:fldChar w:fldCharType="end"/>
      </w:r>
      <w:r>
        <w:rPr>
          <w:rFonts w:cstheme="minorHAnsi"/>
          <w:color w:val="1C1D1E"/>
          <w:shd w:val="clear" w:color="auto" w:fill="FFFFFF"/>
        </w:rPr>
        <w:t xml:space="preserve"> </w:t>
      </w:r>
      <w:r>
        <w:rPr>
          <w:rFonts w:cstheme="minorHAnsi"/>
          <w:color w:val="1C1D1E"/>
          <w:shd w:val="clear" w:color="auto" w:fill="FFFFFF"/>
        </w:rPr>
        <w:fldChar w:fldCharType="begin"/>
      </w:r>
      <w:r>
        <w:rPr>
          <w:rFonts w:cstheme="minorHAnsi"/>
          <w:color w:val="1C1D1E"/>
          <w:shd w:val="clear" w:color="auto" w:fill="FFFFFF"/>
        </w:rPr>
        <w:instrText xml:space="preserve"> ADDIN ZOTERO_ITEM CSL_CITATION {"citationID":"K6LbosdP","properties":{"formattedCitation":"(Dahlquist &amp; Martinez, 2015)","plainCitation":"(Dahlquist &amp; Martinez, 2015)","noteIndex":0},"citationItems":[{"id":1246,"uris":["http://zotero.org/users/5598270/items/6J4HXXME"],"uri":["http://zotero.org/users/5598270/items/6J4HXXME"],"itemData":{"id":1246,"type":"article-journal","abstract":"We investigate inattention on the part of pension plan participants using a dataset covering savings in Sweden’s Premium Pension System. These data permit direct comparison of the investment behaviours of pension and retail mutual fund investors. Unlike retail mutual fund investors, pension investors do not seem to react to past fund performance. This behaviour means that pension investors face a greater risk of being caught in poorly performing funds. Our evidence suggests that inertia and inattention to past performance may translate into poorer investment results for pension investors. We discuss a potential change in the design of deﬁned contribution pension schemes that may mitigate costs for inattentive investors while maintaining ﬂexibility for attentive investors.","container-title":"European Financial Management","DOI":"10.1111/j.1468-036X.2013.12008.x","ISSN":"13547798","issue":"1","journalAbbreviation":"Eur Financial Management","language":"en","page":"1-19","source":"DOI.org (Crossref)","title":"Investor Inattention: A Hidden Cost of Choice in Pension Plans?: Investor Inattention","title-short":"Investor Inattention","volume":"21","author":[{"family":"Dahlquist","given":"Magnus"},{"family":"Martinez","given":"José Vicente"}],"issued":{"date-parts":[["2015",1]]}}}],"schema":"https://github.com/citation-style-language/schema/raw/master/csl-citation.json"} </w:instrText>
      </w:r>
      <w:r>
        <w:rPr>
          <w:rFonts w:cstheme="minorHAnsi"/>
          <w:color w:val="1C1D1E"/>
          <w:shd w:val="clear" w:color="auto" w:fill="FFFFFF"/>
        </w:rPr>
        <w:fldChar w:fldCharType="separate"/>
      </w:r>
      <w:r w:rsidRPr="00A827B6">
        <w:rPr>
          <w:rFonts w:ascii="Calibri" w:hAnsi="Calibri" w:cs="Calibri"/>
        </w:rPr>
        <w:t>(Dahlquist &amp; Martinez, 2015)</w:t>
      </w:r>
      <w:r>
        <w:rPr>
          <w:rFonts w:cstheme="minorHAnsi"/>
          <w:color w:val="1C1D1E"/>
          <w:shd w:val="clear" w:color="auto" w:fill="FFFFFF"/>
        </w:rPr>
        <w:fldChar w:fldCharType="end"/>
      </w:r>
    </w:p>
    <w:p w14:paraId="03EFCE10" w14:textId="53B57616" w:rsidR="00536876" w:rsidRDefault="00536876" w:rsidP="00C4444C">
      <w:pPr>
        <w:rPr>
          <w:rFonts w:cstheme="minorHAnsi"/>
          <w:color w:val="1C1D1E"/>
          <w:shd w:val="clear" w:color="auto" w:fill="FFFFFF"/>
        </w:rPr>
      </w:pPr>
      <w:r>
        <w:rPr>
          <w:rFonts w:cstheme="minorHAnsi"/>
          <w:color w:val="1C1D1E"/>
          <w:shd w:val="clear" w:color="auto" w:fill="FFFFFF"/>
        </w:rPr>
        <w:t>Litigation risks, if deviate too much</w:t>
      </w:r>
    </w:p>
    <w:p w14:paraId="5CFDA375" w14:textId="0520AD64" w:rsidR="00A827B6" w:rsidRDefault="00A827B6" w:rsidP="00A827B6">
      <w:pPr>
        <w:pStyle w:val="ListParagraph"/>
        <w:numPr>
          <w:ilvl w:val="0"/>
          <w:numId w:val="1"/>
        </w:numPr>
      </w:pPr>
      <w:r w:rsidRPr="009C5416">
        <w:t>The Employee Retirement Income Security Act of 1974 (ERISA)</w:t>
      </w:r>
      <w:r>
        <w:t xml:space="preserve"> … </w:t>
      </w:r>
      <w:r w:rsidRPr="009C5416">
        <w:t>establishes fiduciary duties for those who manage and control these plans, and gives participants the right to sue plan fiduciaries for breach of their duty</w:t>
      </w:r>
      <w:r>
        <w:t xml:space="preserve"> </w:t>
      </w:r>
      <w:r>
        <w:fldChar w:fldCharType="begin"/>
      </w:r>
      <w:r>
        <w:instrText xml:space="preserve"> ADDIN ZOTERO_ITEM CSL_CITATION {"citationID":"55DzKErB","properties":{"formattedCitation":"(Cusano, 2019)","plainCitation":"(Cusano, 2019)","noteIndex":0},"citationItems":[{"id":1241,"uris":["http://zotero.org/users/5598270/items/Z34WFXRX"],"uri":["http://zotero.org/users/5598270/items/Z34WFXRX"],"itemData":{"id":1241,"type":"article-journal","container-title":"SSRN Electronic Journal","DOI":"10.2139/ssrn.3506849","ISSN":"1556-5068","journalAbbreviation":"SSRN Journal","language":"en","source":"DOI.org (Crossref)","title":"The Rise the Duty of Prudence and Demise of the Large-Menu Defense: An Update on Recent Erisa Litigation and Divane v. Northwestern","title-short":"The Rise the Duty of Prudence and Demise of the Large-Menu Defense","URL":"https://www.ssrn.com/abstract=3506849","author":[{"family":"Cusano","given":"Louis"}],"accessed":{"date-parts":[["2020",11,7]]},"issued":{"date-parts":[["2019"]]}}}],"schema":"https://github.com/citation-style-language/schema/raw/master/csl-citation.json"} </w:instrText>
      </w:r>
      <w:r>
        <w:fldChar w:fldCharType="separate"/>
      </w:r>
      <w:r w:rsidRPr="00A827B6">
        <w:rPr>
          <w:rFonts w:ascii="Calibri" w:hAnsi="Calibri" w:cs="Calibri"/>
        </w:rPr>
        <w:t>(Cusano, 2019)</w:t>
      </w:r>
      <w:r>
        <w:fldChar w:fldCharType="end"/>
      </w:r>
    </w:p>
    <w:p w14:paraId="0974AB08" w14:textId="77777777" w:rsidR="00A827B6" w:rsidRDefault="00A827B6" w:rsidP="00A827B6">
      <w:pPr>
        <w:pStyle w:val="ListParagraph"/>
      </w:pPr>
      <w:r>
        <w:t>If performance is worse than in the benchmark, or the asset classes in the portfolio deviates from the rest… Motivates to follow the rest even though that would mean worse investment decisions. At least, don’t get sued.</w:t>
      </w:r>
    </w:p>
    <w:p w14:paraId="4601C7AB" w14:textId="77777777" w:rsidR="00A827B6" w:rsidRDefault="00A827B6" w:rsidP="00A827B6">
      <w:pPr>
        <w:pStyle w:val="ListParagraph"/>
        <w:numPr>
          <w:ilvl w:val="0"/>
          <w:numId w:val="1"/>
        </w:numPr>
        <w:rPr>
          <w:rFonts w:cstheme="minorHAnsi"/>
          <w:color w:val="1C1D1E"/>
          <w:shd w:val="clear" w:color="auto" w:fill="FFFFFF"/>
        </w:rPr>
      </w:pPr>
      <w:r>
        <w:rPr>
          <w:rFonts w:cstheme="minorHAnsi"/>
          <w:color w:val="1C1D1E"/>
          <w:shd w:val="clear" w:color="auto" w:fill="FFFFFF"/>
        </w:rPr>
        <w:t>Safer to follow the pack</w:t>
      </w:r>
    </w:p>
    <w:p w14:paraId="4AE20C46" w14:textId="77777777" w:rsidR="00A827B6" w:rsidRPr="00536876" w:rsidRDefault="00A827B6" w:rsidP="00A827B6">
      <w:pPr>
        <w:pStyle w:val="ListParagraph"/>
        <w:rPr>
          <w:rFonts w:cstheme="minorHAnsi"/>
          <w:color w:val="1C1D1E"/>
          <w:shd w:val="clear" w:color="auto" w:fill="FFFFFF"/>
        </w:rPr>
      </w:pPr>
    </w:p>
    <w:p w14:paraId="187B1EFA" w14:textId="77777777" w:rsidR="00536876" w:rsidRDefault="00536876" w:rsidP="00C4444C">
      <w:pPr>
        <w:rPr>
          <w:rFonts w:cstheme="minorHAnsi"/>
          <w:color w:val="1C1D1E"/>
          <w:shd w:val="clear" w:color="auto" w:fill="FFFFFF"/>
        </w:rPr>
      </w:pPr>
    </w:p>
    <w:p w14:paraId="25AA4F56" w14:textId="27A8D775" w:rsidR="00536876" w:rsidRDefault="00536876" w:rsidP="00C4444C">
      <w:pPr>
        <w:rPr>
          <w:rFonts w:cstheme="minorHAnsi"/>
          <w:color w:val="1C1D1E"/>
          <w:shd w:val="clear" w:color="auto" w:fill="FFFFFF"/>
        </w:rPr>
      </w:pPr>
      <w:r w:rsidRPr="00536876">
        <w:rPr>
          <w:rFonts w:cstheme="minorHAnsi"/>
          <w:b/>
          <w:bCs/>
          <w:color w:val="1C1D1E"/>
          <w:shd w:val="clear" w:color="auto" w:fill="FFFFFF"/>
        </w:rPr>
        <w:t>What next?</w:t>
      </w:r>
    </w:p>
    <w:p w14:paraId="135E6B5D" w14:textId="1766FE9F" w:rsidR="00536876" w:rsidRDefault="00536876" w:rsidP="00C4444C">
      <w:pPr>
        <w:rPr>
          <w:rFonts w:cstheme="minorHAnsi"/>
          <w:color w:val="1C1D1E"/>
          <w:shd w:val="clear" w:color="auto" w:fill="FFFFFF"/>
        </w:rPr>
      </w:pPr>
      <w:r>
        <w:rPr>
          <w:rFonts w:cstheme="minorHAnsi"/>
          <w:color w:val="1C1D1E"/>
          <w:shd w:val="clear" w:color="auto" w:fill="FFFFFF"/>
        </w:rPr>
        <w:t>Financial literacy and member engagement to the rescue?</w:t>
      </w:r>
      <w:r w:rsidR="00935005">
        <w:rPr>
          <w:rFonts w:cstheme="minorHAnsi"/>
          <w:color w:val="1C1D1E"/>
          <w:shd w:val="clear" w:color="auto" w:fill="FFFFFF"/>
        </w:rPr>
        <w:t xml:space="preserve"> (combatting inertia and inattentiveness)</w:t>
      </w:r>
    </w:p>
    <w:p w14:paraId="6542D33B" w14:textId="51B9310F" w:rsidR="000807A2" w:rsidRDefault="000807A2" w:rsidP="00C4444C">
      <w:pPr>
        <w:rPr>
          <w:rFonts w:cstheme="minorHAnsi"/>
          <w:color w:val="1C1D1E"/>
          <w:shd w:val="clear" w:color="auto" w:fill="FFFFFF"/>
        </w:rPr>
      </w:pPr>
      <w:r>
        <w:rPr>
          <w:rFonts w:cstheme="minorHAnsi"/>
          <w:color w:val="1C1D1E"/>
          <w:shd w:val="clear" w:color="auto" w:fill="FFFFFF"/>
        </w:rPr>
        <w:t>Member engagement and better financial literacy are suggested ways to combat investors inertia and inattentiveness.</w:t>
      </w:r>
    </w:p>
    <w:p w14:paraId="2FD24246" w14:textId="34B24BCE" w:rsidR="00536876" w:rsidRDefault="00536876" w:rsidP="00536876">
      <w:pPr>
        <w:pStyle w:val="ListParagraph"/>
        <w:numPr>
          <w:ilvl w:val="0"/>
          <w:numId w:val="3"/>
        </w:numPr>
        <w:rPr>
          <w:rFonts w:cstheme="minorHAnsi"/>
          <w:color w:val="1C1D1E"/>
          <w:shd w:val="clear" w:color="auto" w:fill="FFFFFF"/>
        </w:rPr>
      </w:pPr>
      <w:r>
        <w:rPr>
          <w:rFonts w:cstheme="minorHAnsi"/>
          <w:color w:val="1C1D1E"/>
          <w:shd w:val="clear" w:color="auto" w:fill="FFFFFF"/>
        </w:rPr>
        <w:t>Pension products are complex</w:t>
      </w:r>
    </w:p>
    <w:p w14:paraId="4C6E7993" w14:textId="7C11C783" w:rsidR="00536876" w:rsidRDefault="00536876" w:rsidP="00536876">
      <w:pPr>
        <w:pStyle w:val="ListParagraph"/>
        <w:numPr>
          <w:ilvl w:val="0"/>
          <w:numId w:val="3"/>
        </w:numPr>
        <w:rPr>
          <w:rFonts w:cstheme="minorHAnsi"/>
          <w:color w:val="1C1D1E"/>
          <w:shd w:val="clear" w:color="auto" w:fill="FFFFFF"/>
        </w:rPr>
      </w:pPr>
      <w:r>
        <w:rPr>
          <w:rFonts w:cstheme="minorHAnsi"/>
          <w:color w:val="1C1D1E"/>
          <w:shd w:val="clear" w:color="auto" w:fill="FFFFFF"/>
        </w:rPr>
        <w:t>Financial literacy varies a lot, there are groups who have high knowledge</w:t>
      </w:r>
    </w:p>
    <w:p w14:paraId="30E37E21" w14:textId="7C4B951C" w:rsidR="000807A2" w:rsidRPr="000807A2" w:rsidRDefault="00935005" w:rsidP="000807A2">
      <w:pPr>
        <w:pStyle w:val="ListParagraph"/>
        <w:numPr>
          <w:ilvl w:val="0"/>
          <w:numId w:val="3"/>
        </w:numPr>
        <w:rPr>
          <w:rFonts w:cstheme="minorHAnsi"/>
          <w:color w:val="1C1D1E"/>
          <w:shd w:val="clear" w:color="auto" w:fill="FFFFFF"/>
        </w:rPr>
      </w:pPr>
      <w:r>
        <w:rPr>
          <w:rFonts w:cstheme="minorHAnsi"/>
          <w:color w:val="1C1D1E"/>
          <w:shd w:val="clear" w:color="auto" w:fill="FFFFFF"/>
        </w:rPr>
        <w:t>More literate ppl are more active</w:t>
      </w:r>
      <w:r w:rsidR="000807A2">
        <w:rPr>
          <w:rFonts w:cstheme="minorHAnsi"/>
          <w:color w:val="1C1D1E"/>
          <w:shd w:val="clear" w:color="auto" w:fill="FFFFFF"/>
        </w:rPr>
        <w:t xml:space="preserve"> </w:t>
      </w:r>
      <w:r w:rsidR="000807A2">
        <w:rPr>
          <w:rFonts w:cstheme="minorHAnsi"/>
          <w:color w:val="1C1D1E"/>
          <w:shd w:val="clear" w:color="auto" w:fill="FFFFFF"/>
        </w:rPr>
        <w:fldChar w:fldCharType="begin"/>
      </w:r>
      <w:r w:rsidR="000807A2">
        <w:rPr>
          <w:rFonts w:cstheme="minorHAnsi"/>
          <w:color w:val="1C1D1E"/>
          <w:shd w:val="clear" w:color="auto" w:fill="FFFFFF"/>
        </w:rPr>
        <w:instrText xml:space="preserve"> ADDIN ZOTERO_ITEM CSL_CITATION {"citationID":"r2aALreM","properties":{"formattedCitation":"(Deetlefs et al., 2019)","plainCitation":"(Deetlefs et al., 2019)","noteIndex":0},"citationItems":[{"id":1248,"uris":["http://zotero.org/users/5598270/items/ETYD38BL"],"uri":["http://zotero.org/users/5598270/items/ETYD38BL"],"itemData":{"id":1248,"type":"article-journal","abstract":"People who engage with their retirement savings are more likely to opt out of unsuitable defaults. We use cluster analysis of matched survey and administrative data to identify groups of pension plan members that are alike in their attitudes towards retirement saving. We find that engaged and disengaged members separate into groups based on interest and trust. Group membership in turn helps predict plan engagement, as proxied by non-default choices. Specifically, engagement is stronger among interested groups. Trust however, has a more complex relationship with engagement, particularly as it interacts with interest. While members with low interest and high trust are less likely to engage (for example by not checking plan performance) less trusting members engage more (for example by actively choosing asset allocations). As interest and trust successfully determine group membership, and ultimately engagement, pension plan providers should address members’ diverse needs and circumstances with personalized approaches.","container-title":"Journal of Consumer Affairs","DOI":"10.1111/joca.12208","ISSN":"0022-0078, 1745-6606","issue":"3","journalAbbreviation":"J Consum Aff","language":"en","page":"917-945","source":"DOI.org (Crossref)","title":"Engagement with Retirement Savings: It Is a Matter of Trust","title-short":"Engagement with Retirement Savings","volume":"53","author":[{"family":"Deetlefs","given":"A. M. Jeanette"},{"family":"Bateman","given":"Hazel"},{"family":"Dobrescu","given":"Loretti I."},{"family":"Newell","given":"Ben R."},{"family":"Ortmann","given":"Andreas"},{"family":"Thorp","given":"Susan"}],"issued":{"date-parts":[["2019",9]]}}}],"schema":"https://github.com/citation-style-language/schema/raw/master/csl-citation.json"} </w:instrText>
      </w:r>
      <w:r w:rsidR="000807A2">
        <w:rPr>
          <w:rFonts w:cstheme="minorHAnsi"/>
          <w:color w:val="1C1D1E"/>
          <w:shd w:val="clear" w:color="auto" w:fill="FFFFFF"/>
        </w:rPr>
        <w:fldChar w:fldCharType="separate"/>
      </w:r>
      <w:r w:rsidR="000807A2" w:rsidRPr="00D0028A">
        <w:rPr>
          <w:rFonts w:ascii="Calibri" w:hAnsi="Calibri" w:cs="Calibri"/>
        </w:rPr>
        <w:t>(Deetlefs et al., 2019)</w:t>
      </w:r>
      <w:r w:rsidR="000807A2">
        <w:rPr>
          <w:rFonts w:cstheme="minorHAnsi"/>
          <w:color w:val="1C1D1E"/>
          <w:shd w:val="clear" w:color="auto" w:fill="FFFFFF"/>
        </w:rPr>
        <w:fldChar w:fldCharType="end"/>
      </w:r>
      <w:r w:rsidRPr="000807A2">
        <w:rPr>
          <w:rFonts w:cstheme="minorHAnsi"/>
          <w:color w:val="1C1D1E"/>
          <w:shd w:val="clear" w:color="auto" w:fill="FFFFFF"/>
        </w:rPr>
        <w:t xml:space="preserve"> </w:t>
      </w:r>
    </w:p>
    <w:p w14:paraId="099B524A" w14:textId="1059D242" w:rsidR="00935005" w:rsidRDefault="000807A2" w:rsidP="00536876">
      <w:pPr>
        <w:pStyle w:val="ListParagraph"/>
        <w:numPr>
          <w:ilvl w:val="0"/>
          <w:numId w:val="3"/>
        </w:numPr>
        <w:rPr>
          <w:rFonts w:cstheme="minorHAnsi"/>
          <w:color w:val="1C1D1E"/>
          <w:shd w:val="clear" w:color="auto" w:fill="FFFFFF"/>
        </w:rPr>
      </w:pPr>
      <w:r>
        <w:rPr>
          <w:rFonts w:cstheme="minorHAnsi"/>
          <w:color w:val="1C1D1E"/>
          <w:shd w:val="clear" w:color="auto" w:fill="FFFFFF"/>
        </w:rPr>
        <w:t xml:space="preserve">… </w:t>
      </w:r>
      <w:r w:rsidR="00935005">
        <w:rPr>
          <w:rFonts w:cstheme="minorHAnsi"/>
          <w:color w:val="1C1D1E"/>
          <w:shd w:val="clear" w:color="auto" w:fill="FFFFFF"/>
        </w:rPr>
        <w:t>but can make mistakes</w:t>
      </w:r>
      <w:r w:rsidR="00D0028A">
        <w:rPr>
          <w:rFonts w:cstheme="minorHAnsi"/>
          <w:color w:val="1C1D1E"/>
          <w:shd w:val="clear" w:color="auto" w:fill="FFFFFF"/>
        </w:rPr>
        <w:t xml:space="preserve"> </w:t>
      </w:r>
      <w:r w:rsidR="00D0028A" w:rsidRPr="00D0028A">
        <w:rPr>
          <w:rFonts w:cstheme="minorHAnsi"/>
          <w:color w:val="1C1D1E"/>
          <w:shd w:val="clear" w:color="auto" w:fill="FFFFFF"/>
        </w:rPr>
        <w:fldChar w:fldCharType="begin"/>
      </w:r>
      <w:r w:rsidR="00D0028A" w:rsidRPr="00D0028A">
        <w:rPr>
          <w:rFonts w:cstheme="minorHAnsi"/>
          <w:color w:val="1C1D1E"/>
          <w:shd w:val="clear" w:color="auto" w:fill="FFFFFF"/>
        </w:rPr>
        <w:instrText xml:space="preserve"> ADDIN ZOTERO_ITEM CSL_CITATION {"citationID":"0A9r2gmc","properties":{"formattedCitation":"(Dahlquist &amp; Martinez, 2015)","plainCitation":"(Dahlquist &amp; Martinez, 2015)","noteIndex":0},"citationItems":[{"id":1246,"uris":["http://zotero.org/users/5598270/items/6J4HXXME"],"uri":["http://zotero.org/users/5598270/items/6J4HXXME"],"itemData":{"id":1246,"type":"article-journal","abstract":"We investigate inattention on the part of pension plan participants using a dataset covering savings in Sweden’s Premium Pension System. These data permit direct comparison of the investment behaviours of pension and retail mutual fund investors. Unlike retail mutual fund investors, pension investors do not seem to react to past fund performance. This behaviour means that pension investors face a greater risk of being caught in poorly performing funds. Our evidence suggests that inertia and inattention to past performance may translate into poorer investment results for pension investors. We discuss a potential change in the design of deﬁned contribution pension schemes that may mitigate costs for inattentive investors while maintaining ﬂexibility for attentive investors.","container-title":"European Financial Management","DOI":"10.1111/j.1468-036X.2013.12008.x","ISSN":"13547798","issue":"1","journalAbbreviation":"Eur Financial Management","language":"en","page":"1-19","source":"DOI.org (Crossref)","title":"Investor Inattention: A Hidden Cost of Choice in Pension Plans?: Investor Inattention","title-short":"Investor Inattention","volume":"21","author":[{"family":"Dahlquist","given":"Magnus"},{"family":"Martinez","given":"José Vicente"}],"issued":{"date-parts":[["2015",1]]}}}],"schema":"https://github.com/citation-style-language/schema/raw/master/csl-citation.json"} </w:instrText>
      </w:r>
      <w:r w:rsidR="00D0028A" w:rsidRPr="00D0028A">
        <w:rPr>
          <w:rFonts w:cstheme="minorHAnsi"/>
          <w:color w:val="1C1D1E"/>
          <w:shd w:val="clear" w:color="auto" w:fill="FFFFFF"/>
        </w:rPr>
        <w:fldChar w:fldCharType="separate"/>
      </w:r>
      <w:r w:rsidR="00D0028A" w:rsidRPr="00D0028A">
        <w:rPr>
          <w:rFonts w:ascii="Calibri" w:hAnsi="Calibri" w:cs="Calibri"/>
        </w:rPr>
        <w:t>(Dahlquist &amp; Martinez, 2015)</w:t>
      </w:r>
      <w:r w:rsidR="00D0028A" w:rsidRPr="00D0028A">
        <w:rPr>
          <w:rFonts w:cstheme="minorHAnsi"/>
          <w:color w:val="1C1D1E"/>
          <w:shd w:val="clear" w:color="auto" w:fill="FFFFFF"/>
        </w:rPr>
        <w:fldChar w:fldCharType="end"/>
      </w:r>
    </w:p>
    <w:p w14:paraId="3712DE20" w14:textId="3AE307A6" w:rsidR="00536876" w:rsidRPr="00D0028A" w:rsidRDefault="00536876" w:rsidP="00D0028A">
      <w:pPr>
        <w:pStyle w:val="ListParagraph"/>
        <w:numPr>
          <w:ilvl w:val="0"/>
          <w:numId w:val="3"/>
        </w:numPr>
        <w:rPr>
          <w:b/>
          <w:bCs/>
        </w:rPr>
      </w:pPr>
      <w:r w:rsidRPr="00D0028A">
        <w:rPr>
          <w:rFonts w:cstheme="minorHAnsi"/>
          <w:color w:val="1C1D1E"/>
          <w:shd w:val="clear" w:color="auto" w:fill="FFFFFF"/>
        </w:rPr>
        <w:lastRenderedPageBreak/>
        <w:t>Lots of ppl who have very limited knowledge of finance, and don’t know even the basic concepts such as compounding interest</w:t>
      </w:r>
      <w:r w:rsidR="00D0028A" w:rsidRPr="00D0028A">
        <w:rPr>
          <w:rFonts w:cstheme="minorHAnsi"/>
          <w:color w:val="1C1D1E"/>
          <w:shd w:val="clear" w:color="auto" w:fill="FFFFFF"/>
        </w:rPr>
        <w:t xml:space="preserve"> </w:t>
      </w:r>
      <w:r w:rsidR="00D0028A" w:rsidRPr="00D0028A">
        <w:rPr>
          <w:b/>
          <w:bCs/>
        </w:rPr>
        <w:fldChar w:fldCharType="begin"/>
      </w:r>
      <w:r w:rsidR="00D0028A" w:rsidRPr="00D0028A">
        <w:rPr>
          <w:b/>
          <w:bCs/>
        </w:rPr>
        <w:instrText xml:space="preserve"> ADDIN ZOTERO_ITEM CSL_CITATION {"citationID":"n9d9yrBi","properties":{"formattedCitation":"(Nijboer &amp; Boon, 2012)","plainCitation":"(Nijboer &amp; Boon, 2012)","noteIndex":0},"citationItems":[{"id":1249,"uris":["http://zotero.org/users/5598270/items/K8GKBBZP"],"uri":["http://zotero.org/users/5598270/items/K8GKBBZP"],"itemData":{"id":1249,"type":"article-journal","container-title":"Netspar Panel Paper","title":"Pension contract design and free choice: Theory and practice","volume":"27","author":[{"family":"Nijboer","given":"H."},{"family":"Boon","given":"B."}],"issued":{"date-parts":[["2012"]]}}}],"schema":"https://github.com/citation-style-language/schema/raw/master/csl-citation.json"} </w:instrText>
      </w:r>
      <w:r w:rsidR="00D0028A" w:rsidRPr="00D0028A">
        <w:rPr>
          <w:b/>
          <w:bCs/>
        </w:rPr>
        <w:fldChar w:fldCharType="separate"/>
      </w:r>
      <w:r w:rsidR="00D0028A" w:rsidRPr="00D0028A">
        <w:rPr>
          <w:rFonts w:ascii="Calibri" w:hAnsi="Calibri" w:cs="Calibri"/>
        </w:rPr>
        <w:t>(Nijboer &amp; Boon, 2012)</w:t>
      </w:r>
      <w:r w:rsidR="00D0028A" w:rsidRPr="00D0028A">
        <w:rPr>
          <w:b/>
          <w:bCs/>
        </w:rPr>
        <w:fldChar w:fldCharType="end"/>
      </w:r>
    </w:p>
    <w:p w14:paraId="0D7A1F14" w14:textId="7EB8ECF2" w:rsidR="00935005" w:rsidRPr="000807A2" w:rsidRDefault="00536876" w:rsidP="000807A2">
      <w:pPr>
        <w:pStyle w:val="ListParagraph"/>
        <w:numPr>
          <w:ilvl w:val="0"/>
          <w:numId w:val="3"/>
        </w:numPr>
        <w:rPr>
          <w:rFonts w:cstheme="minorHAnsi"/>
          <w:color w:val="1C1D1E"/>
          <w:shd w:val="clear" w:color="auto" w:fill="FFFFFF"/>
        </w:rPr>
      </w:pPr>
      <w:r>
        <w:rPr>
          <w:rFonts w:cstheme="minorHAnsi"/>
          <w:color w:val="1C1D1E"/>
          <w:shd w:val="clear" w:color="auto" w:fill="FFFFFF"/>
        </w:rPr>
        <w:t>Hard to inform if the basics are missing</w:t>
      </w:r>
    </w:p>
    <w:p w14:paraId="256150ED" w14:textId="4E90C035" w:rsidR="00935005" w:rsidRPr="000807A2" w:rsidRDefault="000807A2" w:rsidP="000807A2">
      <w:pPr>
        <w:pStyle w:val="ListParagraph"/>
        <w:numPr>
          <w:ilvl w:val="0"/>
          <w:numId w:val="3"/>
        </w:numPr>
        <w:rPr>
          <w:rFonts w:cstheme="minorHAnsi"/>
          <w:color w:val="1C1D1E"/>
          <w:shd w:val="clear" w:color="auto" w:fill="FFFFFF"/>
        </w:rPr>
      </w:pPr>
      <w:r>
        <w:rPr>
          <w:rFonts w:cstheme="minorHAnsi"/>
          <w:color w:val="1C1D1E"/>
          <w:shd w:val="clear" w:color="auto" w:fill="FFFFFF"/>
        </w:rPr>
        <w:t xml:space="preserve">More literate ppl are more engaged </w:t>
      </w:r>
      <w:r>
        <w:rPr>
          <w:rFonts w:cstheme="minorHAnsi"/>
          <w:color w:val="1C1D1E"/>
          <w:shd w:val="clear" w:color="auto" w:fill="FFFFFF"/>
        </w:rPr>
        <w:t xml:space="preserve">much </w:t>
      </w:r>
      <w:r>
        <w:rPr>
          <w:rFonts w:cstheme="minorHAnsi"/>
          <w:color w:val="1C1D1E"/>
          <w:shd w:val="clear" w:color="auto" w:fill="FFFFFF"/>
        </w:rPr>
        <w:fldChar w:fldCharType="begin"/>
      </w:r>
      <w:r>
        <w:rPr>
          <w:rFonts w:cstheme="minorHAnsi"/>
          <w:color w:val="1C1D1E"/>
          <w:shd w:val="clear" w:color="auto" w:fill="FFFFFF"/>
        </w:rPr>
        <w:instrText xml:space="preserve"> ADDIN ZOTERO_ITEM CSL_CITATION {"citationID":"r2aALreM","properties":{"formattedCitation":"(Deetlefs et al., 2019)","plainCitation":"(Deetlefs et al., 2019)","noteIndex":0},"citationItems":[{"id":1248,"uris":["http://zotero.org/users/5598270/items/ETYD38BL"],"uri":["http://zotero.org/users/5598270/items/ETYD38BL"],"itemData":{"id":1248,"type":"article-journal","abstract":"People who engage with their retirement savings are more likely to opt out of unsuitable defaults. We use cluster analysis of matched survey and administrative data to identify groups of pension plan members that are alike in their attitudes towards retirement saving. We find that engaged and disengaged members separate into groups based on interest and trust. Group membership in turn helps predict plan engagement, as proxied by non-default choices. Specifically, engagement is stronger among interested groups. Trust however, has a more complex relationship with engagement, particularly as it interacts with interest. While members with low interest and high trust are less likely to engage (for example by not checking plan performance) less trusting members engage more (for example by actively choosing asset allocations). As interest and trust successfully determine group membership, and ultimately engagement, pension plan providers should address members’ diverse needs and circumstances with personalized approaches.","container-title":"Journal of Consumer Affairs","DOI":"10.1111/joca.12208","ISSN":"0022-0078, 1745-6606","issue":"3","journalAbbreviation":"J Consum Aff","language":"en","page":"917-945","source":"DOI.org (Crossref)","title":"Engagement with Retirement Savings: It Is a Matter of Trust","title-short":"Engagement with Retirement Savings","volume":"53","author":[{"family":"Deetlefs","given":"A. M. Jeanette"},{"family":"Bateman","given":"Hazel"},{"family":"Dobrescu","given":"Loretti I."},{"family":"Newell","given":"Ben R."},{"family":"Ortmann","given":"Andreas"},{"family":"Thorp","given":"Susan"}],"issued":{"date-parts":[["2019",9]]}}}],"schema":"https://github.com/citation-style-language/schema/raw/master/csl-citation.json"} </w:instrText>
      </w:r>
      <w:r>
        <w:rPr>
          <w:rFonts w:cstheme="minorHAnsi"/>
          <w:color w:val="1C1D1E"/>
          <w:shd w:val="clear" w:color="auto" w:fill="FFFFFF"/>
        </w:rPr>
        <w:fldChar w:fldCharType="separate"/>
      </w:r>
      <w:r w:rsidRPr="00D0028A">
        <w:rPr>
          <w:rFonts w:ascii="Calibri" w:hAnsi="Calibri" w:cs="Calibri"/>
        </w:rPr>
        <w:t>(Deetlefs et al., 2019)</w:t>
      </w:r>
      <w:r>
        <w:rPr>
          <w:rFonts w:cstheme="minorHAnsi"/>
          <w:color w:val="1C1D1E"/>
          <w:shd w:val="clear" w:color="auto" w:fill="FFFFFF"/>
        </w:rPr>
        <w:fldChar w:fldCharType="end"/>
      </w:r>
    </w:p>
    <w:p w14:paraId="5098094B" w14:textId="64443164" w:rsidR="000807A2" w:rsidRPr="000807A2" w:rsidRDefault="000807A2" w:rsidP="000807A2">
      <w:pPr>
        <w:pStyle w:val="ListParagraph"/>
        <w:numPr>
          <w:ilvl w:val="0"/>
          <w:numId w:val="3"/>
        </w:numPr>
        <w:rPr>
          <w:rFonts w:cstheme="minorHAnsi"/>
          <w:color w:val="1C1D1E"/>
          <w:shd w:val="clear" w:color="auto" w:fill="FFFFFF"/>
        </w:rPr>
      </w:pPr>
      <w:r w:rsidRPr="000807A2">
        <w:rPr>
          <w:rFonts w:cstheme="minorHAnsi"/>
          <w:color w:val="1C1D1E"/>
          <w:shd w:val="clear" w:color="auto" w:fill="FFFFFF"/>
        </w:rPr>
        <w:t>Retirement savings can be severely affected by this failure of members to make important choices</w:t>
      </w:r>
      <w:r>
        <w:rPr>
          <w:rFonts w:cstheme="minorHAnsi"/>
          <w:color w:val="1C1D1E"/>
          <w:shd w:val="clear" w:color="auto" w:fill="FFFFFF"/>
        </w:rPr>
        <w:t xml:space="preserve"> </w:t>
      </w:r>
      <w:r>
        <w:rPr>
          <w:rFonts w:cstheme="minorHAnsi"/>
          <w:color w:val="1C1D1E"/>
          <w:shd w:val="clear" w:color="auto" w:fill="FFFFFF"/>
        </w:rPr>
        <w:t xml:space="preserve">much </w:t>
      </w:r>
      <w:r>
        <w:rPr>
          <w:rFonts w:cstheme="minorHAnsi"/>
          <w:color w:val="1C1D1E"/>
          <w:shd w:val="clear" w:color="auto" w:fill="FFFFFF"/>
        </w:rPr>
        <w:fldChar w:fldCharType="begin"/>
      </w:r>
      <w:r>
        <w:rPr>
          <w:rFonts w:cstheme="minorHAnsi"/>
          <w:color w:val="1C1D1E"/>
          <w:shd w:val="clear" w:color="auto" w:fill="FFFFFF"/>
        </w:rPr>
        <w:instrText xml:space="preserve"> ADDIN ZOTERO_ITEM CSL_CITATION {"citationID":"r2aALreM","properties":{"formattedCitation":"(Deetlefs et al., 2019)","plainCitation":"(Deetlefs et al., 2019)","noteIndex":0},"citationItems":[{"id":1248,"uris":["http://zotero.org/users/5598270/items/ETYD38BL"],"uri":["http://zotero.org/users/5598270/items/ETYD38BL"],"itemData":{"id":1248,"type":"article-journal","abstract":"People who engage with their retirement savings are more likely to opt out of unsuitable defaults. We use cluster analysis of matched survey and administrative data to identify groups of pension plan members that are alike in their attitudes towards retirement saving. We find that engaged and disengaged members separate into groups based on interest and trust. Group membership in turn helps predict plan engagement, as proxied by non-default choices. Specifically, engagement is stronger among interested groups. Trust however, has a more complex relationship with engagement, particularly as it interacts with interest. While members with low interest and high trust are less likely to engage (for example by not checking plan performance) less trusting members engage more (for example by actively choosing asset allocations). As interest and trust successfully determine group membership, and ultimately engagement, pension plan providers should address members’ diverse needs and circumstances with personalized approaches.","container-title":"Journal of Consumer Affairs","DOI":"10.1111/joca.12208","ISSN":"0022-0078, 1745-6606","issue":"3","journalAbbreviation":"J Consum Aff","language":"en","page":"917-945","source":"DOI.org (Crossref)","title":"Engagement with Retirement Savings: It Is a Matter of Trust","title-short":"Engagement with Retirement Savings","volume":"53","author":[{"family":"Deetlefs","given":"A. M. Jeanette"},{"family":"Bateman","given":"Hazel"},{"family":"Dobrescu","given":"Loretti I."},{"family":"Newell","given":"Ben R."},{"family":"Ortmann","given":"Andreas"},{"family":"Thorp","given":"Susan"}],"issued":{"date-parts":[["2019",9]]}}}],"schema":"https://github.com/citation-style-language/schema/raw/master/csl-citation.json"} </w:instrText>
      </w:r>
      <w:r>
        <w:rPr>
          <w:rFonts w:cstheme="minorHAnsi"/>
          <w:color w:val="1C1D1E"/>
          <w:shd w:val="clear" w:color="auto" w:fill="FFFFFF"/>
        </w:rPr>
        <w:fldChar w:fldCharType="separate"/>
      </w:r>
      <w:r w:rsidRPr="00D0028A">
        <w:rPr>
          <w:rFonts w:ascii="Calibri" w:hAnsi="Calibri" w:cs="Calibri"/>
        </w:rPr>
        <w:t>(Deetlefs et al., 2019)</w:t>
      </w:r>
      <w:r>
        <w:rPr>
          <w:rFonts w:cstheme="minorHAnsi"/>
          <w:color w:val="1C1D1E"/>
          <w:shd w:val="clear" w:color="auto" w:fill="FFFFFF"/>
        </w:rPr>
        <w:fldChar w:fldCharType="end"/>
      </w:r>
    </w:p>
    <w:p w14:paraId="71C84B5E" w14:textId="2FE68277" w:rsidR="00536876" w:rsidRDefault="00536876" w:rsidP="00536876">
      <w:pPr>
        <w:pStyle w:val="ListParagraph"/>
        <w:numPr>
          <w:ilvl w:val="0"/>
          <w:numId w:val="3"/>
        </w:numPr>
        <w:rPr>
          <w:rFonts w:cstheme="minorHAnsi"/>
          <w:color w:val="1C1D1E"/>
          <w:shd w:val="clear" w:color="auto" w:fill="FFFFFF"/>
        </w:rPr>
      </w:pPr>
      <w:r>
        <w:rPr>
          <w:rFonts w:cstheme="minorHAnsi"/>
          <w:color w:val="1C1D1E"/>
          <w:shd w:val="clear" w:color="auto" w:fill="FFFFFF"/>
        </w:rPr>
        <w:t>Member engagement works only if there’s a high distrust, otherwise don’t affect much</w:t>
      </w:r>
      <w:r w:rsidR="00D0028A">
        <w:rPr>
          <w:rFonts w:cstheme="minorHAnsi"/>
          <w:color w:val="1C1D1E"/>
          <w:shd w:val="clear" w:color="auto" w:fill="FFFFFF"/>
        </w:rPr>
        <w:t xml:space="preserve"> </w:t>
      </w:r>
      <w:r w:rsidR="00D0028A">
        <w:rPr>
          <w:rFonts w:cstheme="minorHAnsi"/>
          <w:color w:val="1C1D1E"/>
          <w:shd w:val="clear" w:color="auto" w:fill="FFFFFF"/>
        </w:rPr>
        <w:fldChar w:fldCharType="begin"/>
      </w:r>
      <w:r w:rsidR="00D0028A">
        <w:rPr>
          <w:rFonts w:cstheme="minorHAnsi"/>
          <w:color w:val="1C1D1E"/>
          <w:shd w:val="clear" w:color="auto" w:fill="FFFFFF"/>
        </w:rPr>
        <w:instrText xml:space="preserve"> ADDIN ZOTERO_ITEM CSL_CITATION {"citationID":"r2aALreM","properties":{"formattedCitation":"(Deetlefs et al., 2019)","plainCitation":"(Deetlefs et al., 2019)","noteIndex":0},"citationItems":[{"id":1248,"uris":["http://zotero.org/users/5598270/items/ETYD38BL"],"uri":["http://zotero.org/users/5598270/items/ETYD38BL"],"itemData":{"id":1248,"type":"article-journal","abstract":"People who engage with their retirement savings are more likely to opt out of unsuitable defaults. We use cluster analysis of matched survey and administrative data to identify groups of pension plan members that are alike in their attitudes towards retirement saving. We find that engaged and disengaged members separate into groups based on interest and trust. Group membership in turn helps predict plan engagement, as proxied by non-default choices. Specifically, engagement is stronger among interested groups. Trust however, has a more complex relationship with engagement, particularly as it interacts with interest. While members with low interest and high trust are less likely to engage (for example by not checking plan performance) less trusting members engage more (for example by actively choosing asset allocations). As interest and trust successfully determine group membership, and ultimately engagement, pension plan providers should address members’ diverse needs and circumstances with personalized approaches.","container-title":"Journal of Consumer Affairs","DOI":"10.1111/joca.12208","ISSN":"0022-0078, 1745-6606","issue":"3","journalAbbreviation":"J Consum Aff","language":"en","page":"917-945","source":"DOI.org (Crossref)","title":"Engagement with Retirement Savings: It Is a Matter of Trust","title-short":"Engagement with Retirement Savings","volume":"53","author":[{"family":"Deetlefs","given":"A. M. Jeanette"},{"family":"Bateman","given":"Hazel"},{"family":"Dobrescu","given":"Loretti I."},{"family":"Newell","given":"Ben R."},{"family":"Ortmann","given":"Andreas"},{"family":"Thorp","given":"Susan"}],"issued":{"date-parts":[["2019",9]]}}}],"schema":"https://github.com/citation-style-language/schema/raw/master/csl-citation.json"} </w:instrText>
      </w:r>
      <w:r w:rsidR="00D0028A">
        <w:rPr>
          <w:rFonts w:cstheme="minorHAnsi"/>
          <w:color w:val="1C1D1E"/>
          <w:shd w:val="clear" w:color="auto" w:fill="FFFFFF"/>
        </w:rPr>
        <w:fldChar w:fldCharType="separate"/>
      </w:r>
      <w:r w:rsidR="00D0028A" w:rsidRPr="00D0028A">
        <w:rPr>
          <w:rFonts w:ascii="Calibri" w:hAnsi="Calibri" w:cs="Calibri"/>
        </w:rPr>
        <w:t>(Deetlefs et al., 2019)</w:t>
      </w:r>
      <w:r w:rsidR="00D0028A">
        <w:rPr>
          <w:rFonts w:cstheme="minorHAnsi"/>
          <w:color w:val="1C1D1E"/>
          <w:shd w:val="clear" w:color="auto" w:fill="FFFFFF"/>
        </w:rPr>
        <w:fldChar w:fldCharType="end"/>
      </w:r>
    </w:p>
    <w:p w14:paraId="4B3F1F5A" w14:textId="638824B7" w:rsidR="00536876" w:rsidRPr="00D0028A" w:rsidRDefault="00536876" w:rsidP="00D0028A">
      <w:pPr>
        <w:pStyle w:val="ListParagraph"/>
        <w:numPr>
          <w:ilvl w:val="0"/>
          <w:numId w:val="3"/>
        </w:numPr>
        <w:rPr>
          <w:b/>
          <w:bCs/>
        </w:rPr>
      </w:pPr>
      <w:r w:rsidRPr="00D0028A">
        <w:rPr>
          <w:rFonts w:cstheme="minorHAnsi"/>
          <w:color w:val="1C1D1E"/>
          <w:shd w:val="clear" w:color="auto" w:fill="FFFFFF"/>
        </w:rPr>
        <w:t>High engagement can actually lead to worse investment decisions</w:t>
      </w:r>
      <w:r w:rsidR="00D0028A" w:rsidRPr="00D0028A">
        <w:rPr>
          <w:rFonts w:cstheme="minorHAnsi"/>
          <w:color w:val="1C1D1E"/>
          <w:shd w:val="clear" w:color="auto" w:fill="FFFFFF"/>
        </w:rPr>
        <w:t xml:space="preserve"> </w:t>
      </w:r>
      <w:r w:rsidR="00D0028A" w:rsidRPr="00D0028A">
        <w:rPr>
          <w:rFonts w:cstheme="minorHAnsi"/>
          <w:color w:val="1C1D1E"/>
          <w:shd w:val="clear" w:color="auto" w:fill="FFFFFF"/>
        </w:rPr>
        <w:fldChar w:fldCharType="begin"/>
      </w:r>
      <w:r w:rsidR="00A827B6">
        <w:rPr>
          <w:rFonts w:cstheme="minorHAnsi"/>
          <w:color w:val="1C1D1E"/>
          <w:shd w:val="clear" w:color="auto" w:fill="FFFFFF"/>
        </w:rPr>
        <w:instrText xml:space="preserve"> ADDIN ZOTERO_ITEM CSL_CITATION {"citationID":"2bh5epjP","properties":{"formattedCitation":"(Dahlquist &amp; Martinez, 2015)","plainCitation":"(Dahlquist &amp; Martinez, 2015)","noteIndex":0},"citationItems":[{"id":1246,"uris":["http://zotero.org/users/5598270/items/6J4HXXME"],"uri":["http://zotero.org/users/5598270/items/6J4HXXME"],"itemData":{"id":1246,"type":"article-journal","abstract":"We investigate inattention on the part of pension plan participants using a dataset covering savings in Sweden’s Premium Pension System. These data permit direct comparison of the investment behaviours of pension and retail mutual fund investors. Unlike retail mutual fund investors, pension investors do not seem to react to past fund performance. This behaviour means that pension investors face a greater risk of being caught in poorly performing funds. Our evidence suggests that inertia and inattention to past performance may translate into poorer investment results for pension investors. We discuss a potential change in the design of deﬁned contribution pension schemes that may mitigate costs for inattentive investors while maintaining ﬂexibility for attentive investors.","container-title":"European Financial Management","DOI":"10.1111/j.1468-036X.2013.12008.x","ISSN":"13547798","issue":"1","journalAbbreviation":"Eur Financial Management","language":"en","page":"1-19","source":"DOI.org (Crossref)","title":"Investor Inattention: A Hidden Cost of Choice in Pension Plans?: Investor Inattention","title-short":"Investor Inattention","volume":"21","author":[{"family":"Dahlquist","given":"Magnus"},{"family":"Martinez","given":"José Vicente"}],"issued":{"date-parts":[["2015",1]]}}}],"schema":"https://github.com/citation-style-language/schema/raw/master/csl-citation.json"} </w:instrText>
      </w:r>
      <w:r w:rsidR="00D0028A" w:rsidRPr="00D0028A">
        <w:rPr>
          <w:rFonts w:cstheme="minorHAnsi"/>
          <w:color w:val="1C1D1E"/>
          <w:shd w:val="clear" w:color="auto" w:fill="FFFFFF"/>
        </w:rPr>
        <w:fldChar w:fldCharType="separate"/>
      </w:r>
      <w:r w:rsidR="00D0028A" w:rsidRPr="00D0028A">
        <w:rPr>
          <w:rFonts w:ascii="Calibri" w:hAnsi="Calibri" w:cs="Calibri"/>
        </w:rPr>
        <w:t>(Dahlquist &amp; Martinez, 2015)</w:t>
      </w:r>
      <w:r w:rsidR="00D0028A" w:rsidRPr="00D0028A">
        <w:rPr>
          <w:rFonts w:cstheme="minorHAnsi"/>
          <w:color w:val="1C1D1E"/>
          <w:shd w:val="clear" w:color="auto" w:fill="FFFFFF"/>
        </w:rPr>
        <w:fldChar w:fldCharType="end"/>
      </w:r>
      <w:r w:rsidR="00D0028A" w:rsidRPr="00D0028A">
        <w:rPr>
          <w:rFonts w:cstheme="minorHAnsi"/>
          <w:color w:val="1C1D1E"/>
          <w:shd w:val="clear" w:color="auto" w:fill="FFFFFF"/>
        </w:rPr>
        <w:t xml:space="preserve">, </w:t>
      </w:r>
      <w:r w:rsidR="00D0028A" w:rsidRPr="00D0028A">
        <w:rPr>
          <w:b/>
          <w:bCs/>
        </w:rPr>
        <w:fldChar w:fldCharType="begin"/>
      </w:r>
      <w:r w:rsidR="00A827B6">
        <w:rPr>
          <w:b/>
          <w:bCs/>
        </w:rPr>
        <w:instrText xml:space="preserve"> ADDIN ZOTERO_ITEM CSL_CITATION {"citationID":"lseLqhBa","properties":{"formattedCitation":"(Nijboer &amp; Boon, 2012)","plainCitation":"(Nijboer &amp; Boon, 2012)","noteIndex":0},"citationItems":[{"id":1249,"uris":["http://zotero.org/users/5598270/items/K8GKBBZP"],"uri":["http://zotero.org/users/5598270/items/K8GKBBZP"],"itemData":{"id":1249,"type":"article-journal","container-title":"Netspar Panel Paper","title":"Pension contract design and free choice: Theory and practice","volume":"27","author":[{"family":"Nijboer","given":"H."},{"family":"Boon","given":"B."}],"issued":{"date-parts":[["2012"]]}}}],"schema":"https://github.com/citation-style-language/schema/raw/master/csl-citation.json"} </w:instrText>
      </w:r>
      <w:r w:rsidR="00D0028A" w:rsidRPr="00D0028A">
        <w:rPr>
          <w:b/>
          <w:bCs/>
        </w:rPr>
        <w:fldChar w:fldCharType="separate"/>
      </w:r>
      <w:r w:rsidR="00D0028A" w:rsidRPr="00D0028A">
        <w:rPr>
          <w:rFonts w:ascii="Calibri" w:hAnsi="Calibri" w:cs="Calibri"/>
        </w:rPr>
        <w:t>(Nijboer &amp; Boon, 2012)</w:t>
      </w:r>
      <w:r w:rsidR="00D0028A" w:rsidRPr="00D0028A">
        <w:rPr>
          <w:b/>
          <w:bCs/>
        </w:rPr>
        <w:fldChar w:fldCharType="end"/>
      </w:r>
    </w:p>
    <w:p w14:paraId="485DBF75" w14:textId="52A4FF3A" w:rsidR="00536876" w:rsidRPr="00D0028A" w:rsidRDefault="00536876" w:rsidP="00C4444C">
      <w:pPr>
        <w:pStyle w:val="ListParagraph"/>
        <w:numPr>
          <w:ilvl w:val="0"/>
          <w:numId w:val="3"/>
        </w:numPr>
        <w:rPr>
          <w:rFonts w:cstheme="minorHAnsi"/>
          <w:color w:val="1C1D1E"/>
          <w:shd w:val="clear" w:color="auto" w:fill="FFFFFF"/>
        </w:rPr>
      </w:pPr>
      <w:r>
        <w:rPr>
          <w:rFonts w:cstheme="minorHAnsi"/>
          <w:color w:val="1C1D1E"/>
          <w:shd w:val="clear" w:color="auto" w:fill="FFFFFF"/>
        </w:rPr>
        <w:t>Defaults work usually better</w:t>
      </w:r>
      <w:r w:rsidR="00D0028A">
        <w:rPr>
          <w:rFonts w:cstheme="minorHAnsi"/>
          <w:color w:val="1C1D1E"/>
          <w:shd w:val="clear" w:color="auto" w:fill="FFFFFF"/>
        </w:rPr>
        <w:t xml:space="preserve"> </w:t>
      </w:r>
      <w:r w:rsidR="00D0028A" w:rsidRPr="00D0028A">
        <w:rPr>
          <w:rFonts w:cstheme="minorHAnsi"/>
          <w:color w:val="1C1D1E"/>
          <w:shd w:val="clear" w:color="auto" w:fill="FFFFFF"/>
        </w:rPr>
        <w:fldChar w:fldCharType="begin"/>
      </w:r>
      <w:r w:rsidR="00A827B6">
        <w:rPr>
          <w:rFonts w:cstheme="minorHAnsi"/>
          <w:color w:val="1C1D1E"/>
          <w:shd w:val="clear" w:color="auto" w:fill="FFFFFF"/>
        </w:rPr>
        <w:instrText xml:space="preserve"> ADDIN ZOTERO_ITEM CSL_CITATION {"citationID":"5LKVrVJi","properties":{"formattedCitation":"(Dahlquist &amp; Martinez, 2015)","plainCitation":"(Dahlquist &amp; Martinez, 2015)","noteIndex":0},"citationItems":[{"id":1246,"uris":["http://zotero.org/users/5598270/items/6J4HXXME"],"uri":["http://zotero.org/users/5598270/items/6J4HXXME"],"itemData":{"id":1246,"type":"article-journal","abstract":"We investigate inattention on the part of pension plan participants using a dataset covering savings in Sweden’s Premium Pension System. These data permit direct comparison of the investment behaviours of pension and retail mutual fund investors. Unlike retail mutual fund investors, pension investors do not seem to react to past fund performance. This behaviour means that pension investors face a greater risk of being caught in poorly performing funds. Our evidence suggests that inertia and inattention to past performance may translate into poorer investment results for pension investors. We discuss a potential change in the design of deﬁned contribution pension schemes that may mitigate costs for inattentive investors while maintaining ﬂexibility for attentive investors.","container-title":"European Financial Management","DOI":"10.1111/j.1468-036X.2013.12008.x","ISSN":"13547798","issue":"1","journalAbbreviation":"Eur Financial Management","language":"en","page":"1-19","source":"DOI.org (Crossref)","title":"Investor Inattention: A Hidden Cost of Choice in Pension Plans?: Investor Inattention","title-short":"Investor Inattention","volume":"21","author":[{"family":"Dahlquist","given":"Magnus"},{"family":"Martinez","given":"José Vicente"}],"issued":{"date-parts":[["2015",1]]}}}],"schema":"https://github.com/citation-style-language/schema/raw/master/csl-citation.json"} </w:instrText>
      </w:r>
      <w:r w:rsidR="00D0028A" w:rsidRPr="00D0028A">
        <w:rPr>
          <w:rFonts w:cstheme="minorHAnsi"/>
          <w:color w:val="1C1D1E"/>
          <w:shd w:val="clear" w:color="auto" w:fill="FFFFFF"/>
        </w:rPr>
        <w:fldChar w:fldCharType="separate"/>
      </w:r>
      <w:r w:rsidR="00D0028A" w:rsidRPr="00D0028A">
        <w:rPr>
          <w:rFonts w:ascii="Calibri" w:hAnsi="Calibri" w:cs="Calibri"/>
        </w:rPr>
        <w:t>(Dahlquist &amp; Martinez, 2015)</w:t>
      </w:r>
      <w:r w:rsidR="00D0028A" w:rsidRPr="00D0028A">
        <w:rPr>
          <w:rFonts w:cstheme="minorHAnsi"/>
          <w:color w:val="1C1D1E"/>
          <w:shd w:val="clear" w:color="auto" w:fill="FFFFFF"/>
        </w:rPr>
        <w:fldChar w:fldCharType="end"/>
      </w:r>
      <w:r w:rsidR="00D0028A" w:rsidRPr="00D0028A">
        <w:rPr>
          <w:rFonts w:cstheme="minorHAnsi"/>
          <w:color w:val="1C1D1E"/>
          <w:shd w:val="clear" w:color="auto" w:fill="FFFFFF"/>
        </w:rPr>
        <w:t xml:space="preserve">, </w:t>
      </w:r>
      <w:r w:rsidR="00D0028A" w:rsidRPr="00D0028A">
        <w:rPr>
          <w:b/>
          <w:bCs/>
        </w:rPr>
        <w:fldChar w:fldCharType="begin"/>
      </w:r>
      <w:r w:rsidR="00A827B6">
        <w:rPr>
          <w:b/>
          <w:bCs/>
        </w:rPr>
        <w:instrText xml:space="preserve"> ADDIN ZOTERO_ITEM CSL_CITATION {"citationID":"0lhONSrj","properties":{"formattedCitation":"(Nijboer &amp; Boon, 2012)","plainCitation":"(Nijboer &amp; Boon, 2012)","noteIndex":0},"citationItems":[{"id":1249,"uris":["http://zotero.org/users/5598270/items/K8GKBBZP"],"uri":["http://zotero.org/users/5598270/items/K8GKBBZP"],"itemData":{"id":1249,"type":"article-journal","container-title":"Netspar Panel Paper","title":"Pension contract design and free choice: Theory and practice","volume":"27","author":[{"family":"Nijboer","given":"H."},{"family":"Boon","given":"B."}],"issued":{"date-parts":[["2012"]]}}}],"schema":"https://github.com/citation-style-language/schema/raw/master/csl-citation.json"} </w:instrText>
      </w:r>
      <w:r w:rsidR="00D0028A" w:rsidRPr="00D0028A">
        <w:rPr>
          <w:b/>
          <w:bCs/>
        </w:rPr>
        <w:fldChar w:fldCharType="separate"/>
      </w:r>
      <w:r w:rsidR="00D0028A" w:rsidRPr="00D0028A">
        <w:rPr>
          <w:rFonts w:ascii="Calibri" w:hAnsi="Calibri" w:cs="Calibri"/>
        </w:rPr>
        <w:t>(Nijboer &amp; Boon, 2012)</w:t>
      </w:r>
      <w:r w:rsidR="00D0028A" w:rsidRPr="00D0028A">
        <w:rPr>
          <w:b/>
          <w:bCs/>
        </w:rPr>
        <w:fldChar w:fldCharType="end"/>
      </w:r>
    </w:p>
    <w:p w14:paraId="244D0A11" w14:textId="392720E3" w:rsidR="00536876" w:rsidRDefault="00536876" w:rsidP="00C4444C">
      <w:pPr>
        <w:rPr>
          <w:rFonts w:cstheme="minorHAnsi"/>
          <w:color w:val="1C1D1E"/>
          <w:shd w:val="clear" w:color="auto" w:fill="FFFFFF"/>
        </w:rPr>
      </w:pPr>
      <w:r>
        <w:rPr>
          <w:rFonts w:cstheme="minorHAnsi"/>
          <w:color w:val="1C1D1E"/>
          <w:shd w:val="clear" w:color="auto" w:fill="FFFFFF"/>
        </w:rPr>
        <w:t>Better defaults</w:t>
      </w:r>
    </w:p>
    <w:p w14:paraId="2D258486" w14:textId="4AEFFD30" w:rsidR="00536876" w:rsidRDefault="004E018D" w:rsidP="00536876">
      <w:pPr>
        <w:pStyle w:val="ListParagraph"/>
        <w:numPr>
          <w:ilvl w:val="0"/>
          <w:numId w:val="3"/>
        </w:numPr>
        <w:rPr>
          <w:rFonts w:cstheme="minorHAnsi"/>
          <w:color w:val="1C1D1E"/>
          <w:shd w:val="clear" w:color="auto" w:fill="FFFFFF"/>
        </w:rPr>
      </w:pPr>
      <w:r>
        <w:rPr>
          <w:rFonts w:cstheme="minorHAnsi"/>
          <w:color w:val="1C1D1E"/>
          <w:shd w:val="clear" w:color="auto" w:fill="FFFFFF"/>
        </w:rPr>
        <w:t xml:space="preserve">Since ppl stick to the defaults and increasing financial literacy and member engagement has only limited effect, then the attention should be directed to create better defaults. </w:t>
      </w:r>
    </w:p>
    <w:p w14:paraId="73D0ECDB" w14:textId="446AD48F" w:rsidR="004E018D" w:rsidRDefault="004E018D" w:rsidP="00536876">
      <w:pPr>
        <w:pStyle w:val="ListParagraph"/>
        <w:numPr>
          <w:ilvl w:val="0"/>
          <w:numId w:val="3"/>
        </w:numPr>
        <w:rPr>
          <w:rFonts w:cstheme="minorHAnsi"/>
          <w:color w:val="1C1D1E"/>
          <w:shd w:val="clear" w:color="auto" w:fill="FFFFFF"/>
        </w:rPr>
      </w:pPr>
      <w:r>
        <w:rPr>
          <w:rFonts w:cstheme="minorHAnsi"/>
          <w:color w:val="1C1D1E"/>
          <w:shd w:val="clear" w:color="auto" w:fill="FFFFFF"/>
        </w:rPr>
        <w:t>Pension plan sponsors choose the funds</w:t>
      </w:r>
    </w:p>
    <w:p w14:paraId="3C96F8F6" w14:textId="642335D9" w:rsidR="00536876" w:rsidRPr="004E018D" w:rsidRDefault="004E018D" w:rsidP="00C4444C">
      <w:pPr>
        <w:pStyle w:val="ListParagraph"/>
        <w:numPr>
          <w:ilvl w:val="0"/>
          <w:numId w:val="3"/>
        </w:numPr>
        <w:rPr>
          <w:rFonts w:ascii="Open Sans" w:hAnsi="Open Sans" w:cs="Open Sans"/>
          <w:color w:val="1C1D1E"/>
          <w:shd w:val="clear" w:color="auto" w:fill="FFFFFF"/>
        </w:rPr>
      </w:pPr>
      <w:r w:rsidRPr="004E018D">
        <w:rPr>
          <w:rFonts w:cstheme="minorHAnsi"/>
          <w:color w:val="1C1D1E"/>
          <w:shd w:val="clear" w:color="auto" w:fill="FFFFFF"/>
        </w:rPr>
        <w:t>Regulator could emphasis the risk criterion more</w:t>
      </w:r>
    </w:p>
    <w:p w14:paraId="35D5C476" w14:textId="6AFD274C" w:rsidR="004E018D" w:rsidRPr="004E018D" w:rsidRDefault="004E018D" w:rsidP="00C4444C">
      <w:pPr>
        <w:pStyle w:val="ListParagraph"/>
        <w:numPr>
          <w:ilvl w:val="0"/>
          <w:numId w:val="3"/>
        </w:numPr>
        <w:rPr>
          <w:rFonts w:ascii="Open Sans" w:hAnsi="Open Sans" w:cs="Open Sans"/>
          <w:color w:val="1C1D1E"/>
          <w:shd w:val="clear" w:color="auto" w:fill="FFFFFF"/>
        </w:rPr>
      </w:pPr>
      <w:r>
        <w:rPr>
          <w:rFonts w:cstheme="minorHAnsi"/>
          <w:color w:val="1C1D1E"/>
          <w:shd w:val="clear" w:color="auto" w:fill="FFFFFF"/>
        </w:rPr>
        <w:t>Tax benefit</w:t>
      </w:r>
      <w:r w:rsidR="00935005">
        <w:rPr>
          <w:rFonts w:cstheme="minorHAnsi"/>
          <w:color w:val="1C1D1E"/>
          <w:shd w:val="clear" w:color="auto" w:fill="FFFFFF"/>
        </w:rPr>
        <w:t xml:space="preserve"> </w:t>
      </w:r>
      <w:r>
        <w:rPr>
          <w:rFonts w:cstheme="minorHAnsi"/>
          <w:color w:val="1C1D1E"/>
          <w:shd w:val="clear" w:color="auto" w:fill="FFFFFF"/>
        </w:rPr>
        <w:t>smore per safety</w:t>
      </w:r>
    </w:p>
    <w:p w14:paraId="698DBCDA" w14:textId="7D92DD65" w:rsidR="00536876" w:rsidRDefault="00536876" w:rsidP="00C4444C">
      <w:pPr>
        <w:rPr>
          <w:rFonts w:ascii="Open Sans" w:hAnsi="Open Sans" w:cs="Open Sans"/>
          <w:color w:val="1C1D1E"/>
          <w:shd w:val="clear" w:color="auto" w:fill="FFFFFF"/>
        </w:rPr>
      </w:pPr>
    </w:p>
    <w:p w14:paraId="7FB0AC21" w14:textId="6E916970" w:rsidR="00893AC3" w:rsidRDefault="00D0028A" w:rsidP="00C4444C">
      <w:pPr>
        <w:rPr>
          <w:b/>
          <w:bCs/>
        </w:rPr>
      </w:pPr>
      <w:r>
        <w:rPr>
          <w:b/>
          <w:bCs/>
        </w:rPr>
        <w:fldChar w:fldCharType="begin"/>
      </w:r>
      <w:r w:rsidR="00A827B6">
        <w:rPr>
          <w:b/>
          <w:bCs/>
        </w:rPr>
        <w:instrText xml:space="preserve"> ADDIN ZOTERO_ITEM CSL_CITATION {"citationID":"kt9lyIuK","properties":{"formattedCitation":"(Nijboer &amp; Boon, 2012)","plainCitation":"(Nijboer &amp; Boon, 2012)","noteIndex":0},"citationItems":[{"id":1249,"uris":["http://zotero.org/users/5598270/items/K8GKBBZP"],"uri":["http://zotero.org/users/5598270/items/K8GKBBZP"],"itemData":{"id":1249,"type":"article-journal","container-title":"Netspar Panel Paper","title":"Pension contract design and free choice: Theory and practice","volume":"27","author":[{"family":"Nijboer","given":"H."},{"family":"Boon","given":"B."}],"issued":{"date-parts":[["2012"]]}}}],"schema":"https://github.com/citation-style-language/schema/raw/master/csl-citation.json"} </w:instrText>
      </w:r>
      <w:r>
        <w:rPr>
          <w:b/>
          <w:bCs/>
        </w:rPr>
        <w:fldChar w:fldCharType="separate"/>
      </w:r>
      <w:r w:rsidRPr="00D0028A">
        <w:rPr>
          <w:rFonts w:ascii="Calibri" w:hAnsi="Calibri" w:cs="Calibri"/>
        </w:rPr>
        <w:t>(Nijboer &amp; Boon, 2012)</w:t>
      </w:r>
      <w:r>
        <w:rPr>
          <w:b/>
          <w:bCs/>
        </w:rPr>
        <w:fldChar w:fldCharType="end"/>
      </w:r>
    </w:p>
    <w:p w14:paraId="68BF3636" w14:textId="439E7015" w:rsidR="00C4444C" w:rsidRDefault="00C4444C" w:rsidP="00C4444C">
      <w:pPr>
        <w:rPr>
          <w:b/>
          <w:bCs/>
        </w:rPr>
      </w:pPr>
      <w:r w:rsidRPr="00C4444C">
        <w:rPr>
          <w:b/>
          <w:bCs/>
        </w:rPr>
        <w:t>Default</w:t>
      </w:r>
    </w:p>
    <w:p w14:paraId="77FD475D" w14:textId="0346AC18" w:rsidR="00E64014" w:rsidRDefault="00E64014" w:rsidP="00C4444C">
      <w:pPr>
        <w:rPr>
          <w:b/>
          <w:bCs/>
        </w:rPr>
      </w:pPr>
      <w:r>
        <w:rPr>
          <w:rFonts w:ascii="Segoe UI" w:hAnsi="Segoe UI" w:cs="Segoe UI"/>
          <w:color w:val="24292E"/>
          <w:shd w:val="clear" w:color="auto" w:fill="FFFFFF"/>
        </w:rPr>
        <w:t>default-based choice architecture</w:t>
      </w:r>
      <w:r>
        <w:rPr>
          <w:rFonts w:ascii="Segoe UI" w:hAnsi="Segoe UI" w:cs="Segoe UI"/>
          <w:color w:val="24292E"/>
          <w:shd w:val="clear" w:color="auto" w:fill="FFFFFF"/>
        </w:rPr>
        <w:t xml:space="preserve"> </w:t>
      </w:r>
      <w:r>
        <w:rPr>
          <w:rFonts w:ascii="Segoe UI" w:hAnsi="Segoe UI" w:cs="Segoe UI"/>
          <w:color w:val="24292E"/>
          <w:shd w:val="clear" w:color="auto" w:fill="FFFFFF"/>
        </w:rPr>
        <w:fldChar w:fldCharType="begin"/>
      </w:r>
      <w:r>
        <w:rPr>
          <w:rFonts w:ascii="Segoe UI" w:hAnsi="Segoe UI" w:cs="Segoe UI"/>
          <w:color w:val="24292E"/>
          <w:shd w:val="clear" w:color="auto" w:fill="FFFFFF"/>
        </w:rPr>
        <w:instrText xml:space="preserve"> ADDIN ZOTERO_ITEM CSL_CITATION {"citationID":"Tquq67nf","properties":{"formattedCitation":"(Mitchell &amp; Utkus, 2012)","plainCitation":"(Mitchell &amp; Utkus, 2012)","noteIndex":0},"citationItems":[{"id":1186,"uris":["http://zotero.org/users/5598270/items/B342WH9M"],"uri":["http://zotero.org/users/5598270/items/B342WH9M"],"itemData":{"id":1186,"type":"report","note":"ISBN: 0898-2937","publisher":"National Bureau of Economic Research","title":"Target-date funds in 401 (k) retirement plans","author":[{"family":"Mitchell","given":"Olivia S."},{"family":"Utkus","given":"Stephen"}],"issued":{"date-parts":[["2012"]]}}}],"schema":"https://github.com/citation-style-language/schema/raw/master/csl-citation.json"} </w:instrText>
      </w:r>
      <w:r>
        <w:rPr>
          <w:rFonts w:ascii="Segoe UI" w:hAnsi="Segoe UI" w:cs="Segoe UI"/>
          <w:color w:val="24292E"/>
          <w:shd w:val="clear" w:color="auto" w:fill="FFFFFF"/>
        </w:rPr>
        <w:fldChar w:fldCharType="separate"/>
      </w:r>
      <w:r w:rsidRPr="00E64014">
        <w:rPr>
          <w:rFonts w:ascii="Segoe UI" w:hAnsi="Segoe UI" w:cs="Segoe UI"/>
        </w:rPr>
        <w:t>(Mitchell &amp; Utkus, 2012)</w:t>
      </w:r>
      <w:r>
        <w:rPr>
          <w:rFonts w:ascii="Segoe UI" w:hAnsi="Segoe UI" w:cs="Segoe UI"/>
          <w:color w:val="24292E"/>
          <w:shd w:val="clear" w:color="auto" w:fill="FFFFFF"/>
        </w:rPr>
        <w:fldChar w:fldCharType="end"/>
      </w:r>
    </w:p>
    <w:p w14:paraId="114D31C8" w14:textId="042F7177" w:rsidR="00C4444C" w:rsidRDefault="00C4444C" w:rsidP="00C4444C">
      <w:r>
        <w:t xml:space="preserve">People are defaulted to the retirement fund, limited choice. </w:t>
      </w:r>
      <w:r w:rsidR="00D3732E">
        <w:t>Also,</w:t>
      </w:r>
      <w:r>
        <w:t xml:space="preserve"> re-enrollment when changing jobs</w:t>
      </w:r>
    </w:p>
    <w:p w14:paraId="077DCA1E" w14:textId="51D84952" w:rsidR="00C4444C" w:rsidRDefault="00C4444C" w:rsidP="00C4444C">
      <w:r>
        <w:t>Defaults are very powerful! Very few deviates from it</w:t>
      </w:r>
    </w:p>
    <w:p w14:paraId="3E3BE9D7" w14:textId="1CEB6650" w:rsidR="00C4444C" w:rsidRDefault="00C4444C" w:rsidP="00C4444C">
      <w:r>
        <w:t>Default is not necessarily a low-risk option!</w:t>
      </w:r>
    </w:p>
    <w:p w14:paraId="2857993D" w14:textId="77777777" w:rsidR="006B28E5" w:rsidRDefault="006B28E5" w:rsidP="00C4444C">
      <w:pPr>
        <w:rPr>
          <w:b/>
          <w:bCs/>
        </w:rPr>
      </w:pPr>
    </w:p>
    <w:p w14:paraId="192A895C" w14:textId="00ED3D5C" w:rsidR="00C4444C" w:rsidRDefault="00C4444C" w:rsidP="00C4444C">
      <w:pPr>
        <w:rPr>
          <w:b/>
          <w:bCs/>
        </w:rPr>
      </w:pPr>
      <w:r w:rsidRPr="00C4444C">
        <w:rPr>
          <w:b/>
          <w:bCs/>
        </w:rPr>
        <w:t>Financial literacy and engagement</w:t>
      </w:r>
    </w:p>
    <w:p w14:paraId="6A1BBB9D" w14:textId="0ABF0689" w:rsidR="00C4444C" w:rsidRPr="00C4444C" w:rsidRDefault="00C4444C" w:rsidP="00C4444C">
      <w:r>
        <w:t>Financially ‘illiterate’ people don</w:t>
      </w:r>
      <w:r>
        <w:t>’</w:t>
      </w:r>
      <w:r>
        <w:t>t know how</w:t>
      </w:r>
    </w:p>
    <w:p w14:paraId="440AB69A" w14:textId="0927BF86" w:rsidR="00C4444C" w:rsidRDefault="00C4444C" w:rsidP="00C4444C">
      <w:r>
        <w:t>Financially literate people don’t necessarily care</w:t>
      </w:r>
    </w:p>
    <w:p w14:paraId="54EB23A9" w14:textId="2CB56722" w:rsidR="00C4444C" w:rsidRDefault="00C4444C" w:rsidP="00C4444C">
      <w:r>
        <w:t>People perceive the risk lower than it is (it’s a safe harbor after all, and employer is offering it..)</w:t>
      </w:r>
    </w:p>
    <w:p w14:paraId="46424823" w14:textId="77777777" w:rsidR="00C4444C" w:rsidRDefault="00C4444C" w:rsidP="00C4444C"/>
    <w:p w14:paraId="72ADE742" w14:textId="4FA9E6DE" w:rsidR="00C4444C" w:rsidRDefault="00C4444C" w:rsidP="00C4444C">
      <w:pPr>
        <w:rPr>
          <w:b/>
          <w:bCs/>
        </w:rPr>
      </w:pPr>
      <w:r w:rsidRPr="00C4444C">
        <w:rPr>
          <w:b/>
          <w:bCs/>
        </w:rPr>
        <w:t>No punishment or reward for target-date funds as a consequence</w:t>
      </w:r>
    </w:p>
    <w:p w14:paraId="1AFDCEA7" w14:textId="2AAD267A" w:rsidR="00C4444C" w:rsidRPr="00C4444C" w:rsidRDefault="00C4444C" w:rsidP="00C4444C">
      <w:r>
        <w:t>Investors don’t keep funds in check – they don’t reward or punish them</w:t>
      </w:r>
    </w:p>
    <w:p w14:paraId="57019EA1" w14:textId="6AB63489" w:rsidR="00C4444C" w:rsidRPr="00C4444C" w:rsidRDefault="00C4444C" w:rsidP="00C4444C">
      <w:r w:rsidRPr="00C4444C">
        <w:t>Risk of litigations if</w:t>
      </w:r>
      <w:r>
        <w:t xml:space="preserve"> deviating from the rest</w:t>
      </w:r>
    </w:p>
    <w:p w14:paraId="3AD7B951" w14:textId="77777777" w:rsidR="006B28E5" w:rsidRDefault="006B28E5" w:rsidP="00C4444C">
      <w:pPr>
        <w:rPr>
          <w:b/>
          <w:bCs/>
        </w:rPr>
      </w:pPr>
    </w:p>
    <w:p w14:paraId="3EE9E703" w14:textId="556911AB" w:rsidR="00C4444C" w:rsidRDefault="00C4444C" w:rsidP="00C4444C">
      <w:pPr>
        <w:rPr>
          <w:b/>
          <w:bCs/>
        </w:rPr>
      </w:pPr>
      <w:r w:rsidRPr="00C4444C">
        <w:rPr>
          <w:b/>
          <w:bCs/>
        </w:rPr>
        <w:t>What to do?</w:t>
      </w:r>
    </w:p>
    <w:p w14:paraId="23DBB7AE" w14:textId="4D062E6E" w:rsidR="00C4444C" w:rsidRDefault="00C4444C" w:rsidP="00C4444C">
      <w:r>
        <w:t>Financial literacy and engagement as a solution?</w:t>
      </w:r>
    </w:p>
    <w:p w14:paraId="01300835" w14:textId="28AF9B71" w:rsidR="00C4444C" w:rsidRDefault="00C4444C" w:rsidP="00C4444C">
      <w:r>
        <w:lastRenderedPageBreak/>
        <w:t>Better default</w:t>
      </w:r>
    </w:p>
    <w:p w14:paraId="70E6ACE6" w14:textId="77777777" w:rsidR="00C4444C" w:rsidRPr="00C4444C" w:rsidRDefault="00C4444C" w:rsidP="00C4444C"/>
    <w:p w14:paraId="4CB70FBC" w14:textId="4540B79D" w:rsidR="00C4444C" w:rsidRDefault="00C4444C" w:rsidP="00C4444C"/>
    <w:p w14:paraId="5ED0DCB2" w14:textId="0DAF90A1" w:rsidR="004542C5" w:rsidRDefault="004542C5" w:rsidP="00C4444C"/>
    <w:p w14:paraId="234C1C8C" w14:textId="39EFF935" w:rsidR="004542C5" w:rsidRDefault="004542C5" w:rsidP="00C4444C"/>
    <w:p w14:paraId="65C7EC13" w14:textId="41B87A48" w:rsidR="004542C5" w:rsidRDefault="004542C5" w:rsidP="00C4444C"/>
    <w:p w14:paraId="5D37ECC7" w14:textId="45837937" w:rsidR="004542C5" w:rsidRDefault="004542C5" w:rsidP="00C4444C"/>
    <w:p w14:paraId="5FCE1489" w14:textId="7FF6B8A3" w:rsidR="004542C5" w:rsidRDefault="004542C5" w:rsidP="00C4444C"/>
    <w:p w14:paraId="3716427F" w14:textId="77777777" w:rsidR="004542C5" w:rsidRPr="00C4444C" w:rsidRDefault="004542C5" w:rsidP="00C4444C"/>
    <w:sectPr w:rsidR="004542C5" w:rsidRPr="00C4444C" w:rsidSect="004909DC">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47B8B"/>
    <w:multiLevelType w:val="hybridMultilevel"/>
    <w:tmpl w:val="DDB4CE0C"/>
    <w:lvl w:ilvl="0" w:tplc="B57020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341F9C"/>
    <w:multiLevelType w:val="hybridMultilevel"/>
    <w:tmpl w:val="BD7CDBD4"/>
    <w:lvl w:ilvl="0" w:tplc="5D2845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FB0420"/>
    <w:multiLevelType w:val="hybridMultilevel"/>
    <w:tmpl w:val="626642A4"/>
    <w:lvl w:ilvl="0" w:tplc="A05460C2">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yNLQwNjMyBnLMLZR0lIJTi4sz8/NACgxrAW4JEhosAAAA"/>
  </w:docVars>
  <w:rsids>
    <w:rsidRoot w:val="00C93F02"/>
    <w:rsid w:val="00054F29"/>
    <w:rsid w:val="000807A2"/>
    <w:rsid w:val="00176843"/>
    <w:rsid w:val="003230F0"/>
    <w:rsid w:val="00453A02"/>
    <w:rsid w:val="004542C5"/>
    <w:rsid w:val="004909DC"/>
    <w:rsid w:val="004C06FD"/>
    <w:rsid w:val="004D691F"/>
    <w:rsid w:val="004E018D"/>
    <w:rsid w:val="00536876"/>
    <w:rsid w:val="00651D95"/>
    <w:rsid w:val="006B28E5"/>
    <w:rsid w:val="00705F38"/>
    <w:rsid w:val="007337BD"/>
    <w:rsid w:val="008378F2"/>
    <w:rsid w:val="00893AC3"/>
    <w:rsid w:val="00935005"/>
    <w:rsid w:val="009C5416"/>
    <w:rsid w:val="00A426F7"/>
    <w:rsid w:val="00A42DCE"/>
    <w:rsid w:val="00A827B6"/>
    <w:rsid w:val="00B14A1C"/>
    <w:rsid w:val="00B27282"/>
    <w:rsid w:val="00BE6FA9"/>
    <w:rsid w:val="00C4444C"/>
    <w:rsid w:val="00C4752C"/>
    <w:rsid w:val="00C858D4"/>
    <w:rsid w:val="00C93F02"/>
    <w:rsid w:val="00D0028A"/>
    <w:rsid w:val="00D3732E"/>
    <w:rsid w:val="00D42201"/>
    <w:rsid w:val="00E64014"/>
    <w:rsid w:val="00FC153A"/>
  </w:rsids>
  <m:mathPr>
    <m:mathFont m:val="Cambria Math"/>
    <m:brkBin m:val="before"/>
    <m:brkBinSub m:val="--"/>
    <m:smallFrac m:val="0"/>
    <m:dispDef/>
    <m:lMargin m:val="0"/>
    <m:rMargin m:val="0"/>
    <m:defJc m:val="centerGroup"/>
    <m:wrapIndent m:val="1440"/>
    <m:intLim m:val="subSup"/>
    <m:naryLim m:val="undOvr"/>
  </m:mathPr>
  <w:themeFontLang w:val="fi-FI"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09704"/>
  <w15:chartTrackingRefBased/>
  <w15:docId w15:val="{417FC5F8-C309-42E4-B104-6A68D8051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F02"/>
  </w:style>
  <w:style w:type="paragraph" w:styleId="Heading2">
    <w:name w:val="heading 2"/>
    <w:basedOn w:val="Normal"/>
    <w:next w:val="Normal"/>
    <w:link w:val="Heading2Char"/>
    <w:uiPriority w:val="9"/>
    <w:unhideWhenUsed/>
    <w:qFormat/>
    <w:rsid w:val="00C444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153A"/>
    <w:rPr>
      <w:color w:val="0000FF"/>
      <w:u w:val="single"/>
    </w:rPr>
  </w:style>
  <w:style w:type="character" w:styleId="UnresolvedMention">
    <w:name w:val="Unresolved Mention"/>
    <w:basedOn w:val="DefaultParagraphFont"/>
    <w:uiPriority w:val="99"/>
    <w:semiHidden/>
    <w:unhideWhenUsed/>
    <w:rsid w:val="009C5416"/>
    <w:rPr>
      <w:color w:val="605E5C"/>
      <w:shd w:val="clear" w:color="auto" w:fill="E1DFDD"/>
    </w:rPr>
  </w:style>
  <w:style w:type="character" w:customStyle="1" w:styleId="Heading2Char">
    <w:name w:val="Heading 2 Char"/>
    <w:basedOn w:val="DefaultParagraphFont"/>
    <w:link w:val="Heading2"/>
    <w:uiPriority w:val="9"/>
    <w:rsid w:val="00C4444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36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vu-nl.idm.oclc.org/doi/full/10.1002/bdm.2122" TargetMode="External"/><Relationship Id="rId13" Type="http://schemas.openxmlformats.org/officeDocument/2006/relationships/hyperlink" Target="https://onlinelibrary-wiley-com.vu-nl.idm.oclc.org/doi/full/10.1002/bdm.2122" TargetMode="External"/><Relationship Id="rId3" Type="http://schemas.openxmlformats.org/officeDocument/2006/relationships/settings" Target="settings.xml"/><Relationship Id="rId7" Type="http://schemas.openxmlformats.org/officeDocument/2006/relationships/hyperlink" Target="https://onlinelibrary-wiley-com.vu-nl.idm.oclc.org/doi/full/10.1002/bdm.2122" TargetMode="External"/><Relationship Id="rId12" Type="http://schemas.openxmlformats.org/officeDocument/2006/relationships/hyperlink" Target="https://onlinelibrary-wiley-com.vu-nl.idm.oclc.org/doi/full/10.1002/bdm.212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nlinelibrary-wiley-com.vu-nl.idm.oclc.org/doi/full/10.1002/bdm.2122" TargetMode="External"/><Relationship Id="rId11" Type="http://schemas.openxmlformats.org/officeDocument/2006/relationships/hyperlink" Target="https://onlinelibrary-wiley-com.vu-nl.idm.oclc.org/doi/full/10.1002/bdm.2122" TargetMode="External"/><Relationship Id="rId5" Type="http://schemas.openxmlformats.org/officeDocument/2006/relationships/hyperlink" Target="https://onlinelibrary-wiley-com.vu-nl.idm.oclc.org/doi/full/10.1002/bdm.2122" TargetMode="External"/><Relationship Id="rId15" Type="http://schemas.openxmlformats.org/officeDocument/2006/relationships/hyperlink" Target="https://onlinelibrary-wiley-com.vu-nl.idm.oclc.org/doi/full/10.1002/bdm.2122" TargetMode="External"/><Relationship Id="rId10" Type="http://schemas.openxmlformats.org/officeDocument/2006/relationships/hyperlink" Target="https://onlinelibrary-wiley-com.vu-nl.idm.oclc.org/doi/full/10.1002/bdm.2122" TargetMode="External"/><Relationship Id="rId4" Type="http://schemas.openxmlformats.org/officeDocument/2006/relationships/webSettings" Target="webSettings.xml"/><Relationship Id="rId9" Type="http://schemas.openxmlformats.org/officeDocument/2006/relationships/hyperlink" Target="https://onlinelibrary-wiley-com.vu-nl.idm.oclc.org/doi/full/10.1002/bdm.2122" TargetMode="External"/><Relationship Id="rId14" Type="http://schemas.openxmlformats.org/officeDocument/2006/relationships/hyperlink" Target="https://onlinelibrary-wiley-com.vu-nl.idm.oclc.org/doi/full/10.1002/bdm.21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1216</TotalTime>
  <Pages>6</Pages>
  <Words>8795</Words>
  <Characters>50138</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Jarmo Jokela</dc:creator>
  <cp:keywords/>
  <dc:description/>
  <cp:lastModifiedBy>Jarmo Jokela</cp:lastModifiedBy>
  <cp:revision>21</cp:revision>
  <dcterms:created xsi:type="dcterms:W3CDTF">2020-11-07T08:37:00Z</dcterms:created>
  <dcterms:modified xsi:type="dcterms:W3CDTF">2020-11-08T16:36:00Z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id="fKju7b41"/&gt;&lt;style id="http://www.zotero.org/styles/apa" locale="en-US" hasBibliography="1" bibliographyStyleHasBeenSet="0"/&gt;&lt;prefs&gt;&lt;pref name="fieldType" value="Field"/&gt;&lt;/prefs&gt;&lt;/data&gt;</vt:lpwstr>
  </property>
</Properties>
</file>