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9F462" w14:textId="522C489D" w:rsidR="00634C8C" w:rsidRDefault="00634C8C" w:rsidP="003F0322">
      <w:pPr>
        <w:pStyle w:val="Heading2"/>
      </w:pPr>
      <w:r>
        <w:t>Target-Date Funds</w:t>
      </w:r>
    </w:p>
    <w:p w14:paraId="07EA89C7" w14:textId="77777777" w:rsidR="00634C8C" w:rsidRPr="00634C8C" w:rsidRDefault="00634C8C" w:rsidP="00634C8C"/>
    <w:p w14:paraId="11560F0C" w14:textId="4FC481F2" w:rsidR="004A50F1" w:rsidRDefault="00003D42" w:rsidP="004A50F1">
      <w:r>
        <w:t xml:space="preserve">Target-date funds (TDF) are an investment fund option whose portfolio asset allocation changes dynamically in the predetermined time frame </w:t>
      </w:r>
      <w:r>
        <w:fldChar w:fldCharType="begin"/>
      </w:r>
      <w:r>
        <w:instrText xml:space="preserve"> ADDIN ZOTERO_ITEM CSL_CITATION {"citationID":"YoXn5PiY","properties":{"formattedCitation":"(Miller et al., 2011)","plainCitation":"(Miller et al., 2011)","noteIndex":0},"citationItems":[{"id":1192,"uris":["http://zotero.org/users/5598270/items/KHYKXSL5"],"uri":["http://zotero.org/users/5598270/items/KHYKXSL5"],"itemData":{"id":1192,"type":"article-journal","container-title":"Journal of International Business and Law","issue":"2","page":"7","title":"Target Date Funds: Can One Just Glide Into Retirement?","volume":"10","author":[{"family":"Miller","given":"Jonathan"},{"family":"Rosenburgh","given":"C. F. A."},{"family":"Spieler Phd","given":"C. F. A."},{"family":"FRM","given":"CAIA"},{"family":"Andrew","given":"C."}],"issued":{"date-parts":[["2011"]]}}}],"schema":"https://github.com/citation-style-language/schema/raw/master/csl-citation.json"} </w:instrText>
      </w:r>
      <w:r>
        <w:fldChar w:fldCharType="separate"/>
      </w:r>
      <w:r w:rsidRPr="00003D42">
        <w:rPr>
          <w:rFonts w:ascii="Calibri" w:hAnsi="Calibri" w:cs="Calibri"/>
        </w:rPr>
        <w:t>(Miller et al., 2011)</w:t>
      </w:r>
      <w:r>
        <w:fldChar w:fldCharType="end"/>
      </w:r>
      <w:r>
        <w:t xml:space="preserve">. </w:t>
      </w:r>
      <w:r w:rsidR="00BE1EE0">
        <w:t xml:space="preserve">The funds are usually offered in five-year increments (e.g. 2015, 2020, 2025). For pension saving purposes, the target date is the expected year of the retirement. </w:t>
      </w:r>
      <w:r w:rsidR="004A50F1">
        <w:t xml:space="preserve">The funds offer a managed portfolio strategy that should remain appropriate to investor’s risk profile, even if it is left unreviewed </w:t>
      </w:r>
      <w:r w:rsidR="004A50F1">
        <w:fldChar w:fldCharType="begin"/>
      </w:r>
      <w:r w:rsidR="004A50F1">
        <w:instrText xml:space="preserve"> ADDIN ZOTERO_ITEM CSL_CITATION {"citationID":"99VkInXS","properties":{"formattedCitation":"(van Bilsen et al., n.d.)","plainCitation":"(van Bilsen et al., n.d.)","noteIndex":0},"citationItems":[{"id":1176,"uris":["http://zotero.org/users/5598270/items/HSBILUBE"],"uri":["http://zotero.org/users/5598270/items/HSBILUBE"],"itemData":{"id":1176,"type":"article-journal","abstract":"By analyzing the portfolio allocations of Target Date Funds (TDFs), we document that the observed durations of TDF portfolios are inconsistent with the durations predicted by classical portfolio theory. We call this stylized fact the duration puzzle. We investigate to what extent several extensions of classical portfolio theory can explain the duration puzzle. More speciﬁcally, we consider the impact of human capital, discount rate variation in the stock price, inﬂation risk and portfolio restrictions on the duration of the optimal portfolio. We ﬁnd that it is diﬃcult to explain the duration puzzle, especially for individuals aged between 35 and 65.","language":"en","page":"50","source":"Zotero","title":"The Duration Puzzle in Life-Cycle Investment","author":[{"family":"Bilsen","given":"Servaas","non-dropping-particle":"van"},{"family":"Boelaars","given":"Ilja A"},{"family":"Bovenberg","given":"A Lans"}]}}],"schema":"https://github.com/citation-style-language/schema/raw/master/csl-citation.json"} </w:instrText>
      </w:r>
      <w:r w:rsidR="004A50F1">
        <w:fldChar w:fldCharType="separate"/>
      </w:r>
      <w:r w:rsidR="004A50F1" w:rsidRPr="004A50F1">
        <w:rPr>
          <w:rFonts w:ascii="Calibri" w:hAnsi="Calibri" w:cs="Calibri"/>
        </w:rPr>
        <w:t>(van Bilsen et al., n.d.)</w:t>
      </w:r>
      <w:r w:rsidR="004A50F1">
        <w:fldChar w:fldCharType="end"/>
      </w:r>
      <w:r w:rsidR="00BE1EE0">
        <w:t xml:space="preserve">. Target date fund is a fund of funds, where the portfolio is commonly diversified among stocks, bonds and cash </w:t>
      </w:r>
      <w:r w:rsidR="00BE1EE0">
        <w:fldChar w:fldCharType="begin"/>
      </w:r>
      <w:r w:rsidR="00BE1EE0">
        <w:instrText xml:space="preserve"> ADDIN ZOTERO_ITEM CSL_CITATION {"citationID":"Gmld5pMX","properties":{"formattedCitation":"(Bodie &amp; Treussard, 2007)","plainCitation":"(Bodie &amp; Treussard, 2007)","noteIndex":0},"citationItems":[{"id":1200,"uris":["http://zotero.org/users/5598270/items/RV4AG7MV"],"uri":["http://zotero.org/users/5598270/items/RV4AG7MV"],"itemData":{"id":1200,"type":"article-journal","container-title":"Financial Analysts Journal","DOI":"10.2469/faj.v63.n3.4689","ISSN":"0015-198X, 1938-3312","issue":"3","journalAbbreviation":"Financial Analysts Journal","language":"en","page":"42-47","source":"DOI.org (Crossref)","title":"Making Investment Choices as Simple as Possible, but Not Simpler","volume":"63","author":[{"family":"Bodie","given":"Zvi"},{"family":"Treussard","given":"Jonathan"}],"issued":{"date-parts":[["2007",5]]}}}],"schema":"https://github.com/citation-style-language/schema/raw/master/csl-citation.json"} </w:instrText>
      </w:r>
      <w:r w:rsidR="00BE1EE0">
        <w:fldChar w:fldCharType="separate"/>
      </w:r>
      <w:r w:rsidR="00BE1EE0" w:rsidRPr="004A50F1">
        <w:rPr>
          <w:rFonts w:ascii="Calibri" w:hAnsi="Calibri" w:cs="Calibri"/>
        </w:rPr>
        <w:t>(Bodie &amp; Treussard, 2007)</w:t>
      </w:r>
      <w:r w:rsidR="00BE1EE0">
        <w:fldChar w:fldCharType="end"/>
      </w:r>
      <w:r w:rsidR="00BE1EE0">
        <w:t xml:space="preserve">. </w:t>
      </w:r>
    </w:p>
    <w:p w14:paraId="5A1F6439" w14:textId="77777777" w:rsidR="008228C0" w:rsidRDefault="008228C0" w:rsidP="008228C0">
      <w:r>
        <w:t xml:space="preserve">Target-date funds are popular retirement investment vehicles in the US. Between the years 1997-201, the number of TDFs has increased from 9 to 632, total assets under management has grown from $1.1 billion to $1.1 trillion, and net new cash flow went from $128 million to $67.6 billion </w:t>
      </w:r>
      <w:r>
        <w:fldChar w:fldCharType="begin"/>
      </w:r>
      <w:r>
        <w:instrText xml:space="preserve"> ADDIN ZOTERO_ITEM CSL_CITATION {"citationID":"uZYxkoY5","properties":{"formattedCitation":"(Kilgour, 2019)","plainCitation":"(Kilgour, 2019)","noteIndex":0},"citationItems":[{"id":1180,"uris":["http://zotero.org/users/5598270/items/P8X5T6E2"],"uri":["http://zotero.org/users/5598270/items/P8X5T6E2"],"itemData":{"id":1180,"type":"article-journal","abstract":"Traditional employer-sponsored defined-benefit pension plans in the private sector that provided lifetime benefits have declined precipitously since 1985. They have been largely replaced by Section 401(k) plans in which investment control, market risk and longevity risk have been transferred from the employer to the participant. Most participants opted for the low-yielding money market plan default option, which proved inadequate for providing viable retirement income. The Pension Reform Act of 2006 made two important changes to 401(k) plans: (1) allowed automatic enrollment and (2) allowed target-date funds as a “qualified default investment alternative.” This article examines the evolution from defined-benefit pensions to target-date funds and the closely related collective investment trusts.","container-title":"Compensation &amp; Benefits Review","DOI":"10.1177/0886368719864480","ISSN":"0886-3687, 1552-3837","issue":"2","journalAbbreviation":"Compensation &amp; Benefits Review","language":"en","page":"77-85","source":"DOI.org (Crossref)","title":"The Evolution of Private Sector Retirement Income From Defined-Benefit Pensions to Target-Date 401(k) Plans","volume":"51","author":[{"family":"Kilgour","given":"John G."}],"issued":{"date-parts":[["2019",4]]}}}],"schema":"https://github.com/citation-style-language/schema/raw/master/csl-citation.json"} </w:instrText>
      </w:r>
      <w:r>
        <w:fldChar w:fldCharType="separate"/>
      </w:r>
      <w:r w:rsidRPr="007F67D6">
        <w:rPr>
          <w:rFonts w:ascii="Calibri" w:hAnsi="Calibri" w:cs="Calibri"/>
        </w:rPr>
        <w:t>(Kilgour, 2019)</w:t>
      </w:r>
      <w:r>
        <w:fldChar w:fldCharType="end"/>
      </w:r>
      <w:r>
        <w:t xml:space="preserve">. The </w:t>
      </w:r>
      <w:r w:rsidRPr="000B3CAE">
        <w:t xml:space="preserve">Pension Protection Act (PPA) of 2006 resulted in widespread adoption of TDFs as the default option in 401(k) </w:t>
      </w:r>
      <w:r>
        <w:t xml:space="preserve">retirement </w:t>
      </w:r>
      <w:r w:rsidRPr="000B3CAE">
        <w:t>plans</w:t>
      </w:r>
      <w:r>
        <w:t xml:space="preserve"> (</w:t>
      </w:r>
      <w:r w:rsidRPr="000B3CAE">
        <w:t>employer-sponsored defined-contribution pension account</w:t>
      </w:r>
      <w:r>
        <w:t xml:space="preserve">) </w:t>
      </w:r>
      <w:r w:rsidRPr="000B3CAE">
        <w:t>with automatic enrollment</w:t>
      </w:r>
      <w:r>
        <w:t xml:space="preserve"> </w:t>
      </w:r>
      <w:r>
        <w:fldChar w:fldCharType="begin"/>
      </w:r>
      <w:r>
        <w:instrText xml:space="preserve"> ADDIN ZOTERO_ITEM CSL_CITATION {"citationID":"Mxv3MyGF","properties":{"formattedCitation":"(Sandhya, n.d.)","plainCitation":"(Sandhya, n.d.)","noteIndex":0},"citationItems":[{"id":1167,"uris":["http://zotero.org/users/5598270/items/JVXQU5UZ"],"uri":["http://zotero.org/users/5598270/items/JVXQU5UZ"],"itemData":{"id":1167,"type":"article-journal","abstract":"Target-Date Funds (TDFs) facilitate retirement planning by varying asset allocation over time with the goal of reducing portfolio risk. We explore potential agency problems in TDFs by examining their return performance and ﬂow-performance relation. We ﬁnd that TDFs under-perform balanced funds (BFs) which are also approved as a default option along with TDFs in 401(k) plans with automatic enrollment. We show that the under-performance is driven by TDFs that have a fund-of-fund structure and constituent funds with high expense ratios or poor performance within the fund family. Additionally, we discover an absence of ﬂow-performance relation in TDFs while BFs exhibit the convex ﬂow-performance relation shown for mutual funds. Our evidence suggests the presence of agency problems in TDFs arising from investor inertia, weak incentives for fund managers to outperform peers, and opportunities for fund families to gain private beneﬁts.","language":"en","page":"50","source":"Zotero","title":"Agency Problems in Target-Date Funds","author":[{"family":"Sandhya","given":"Vallapuzha V"}]}}],"schema":"https://github.com/citation-style-language/schema/raw/master/csl-citation.json"} </w:instrText>
      </w:r>
      <w:r>
        <w:fldChar w:fldCharType="separate"/>
      </w:r>
      <w:r w:rsidRPr="000B3CAE">
        <w:rPr>
          <w:rFonts w:ascii="Calibri" w:hAnsi="Calibri" w:cs="Calibri"/>
        </w:rPr>
        <w:t>(Sandhya, n.d.)</w:t>
      </w:r>
      <w:r>
        <w:fldChar w:fldCharType="end"/>
      </w:r>
      <w:r>
        <w:t xml:space="preserve">. </w:t>
      </w:r>
    </w:p>
    <w:p w14:paraId="600D38CA" w14:textId="3BEE8C97" w:rsidR="00917F60" w:rsidRDefault="004A50F1" w:rsidP="00917F60">
      <w:r>
        <w:t>TDFs offer a “glide path” portfolio, where in the beginning of the investment period the weight of the risky assets such as equities is high, and it gradually shifts more towards safer fixed-income assets when the target date approaches.</w:t>
      </w:r>
      <w:r w:rsidR="00BE1EE0">
        <w:t xml:space="preserve"> </w:t>
      </w:r>
      <w:r w:rsidR="004F2391">
        <w:t xml:space="preserve">The strategy of switching out of equities with time is also known as lifecycle investing </w:t>
      </w:r>
      <w:r w:rsidR="004F2391">
        <w:fldChar w:fldCharType="begin"/>
      </w:r>
      <w:r w:rsidR="004F2391">
        <w:instrText xml:space="preserve"> ADDIN ZOTERO_ITEM CSL_CITATION {"citationID":"2ZotOKJH","properties":{"formattedCitation":"(Basu et al., 2011)","plainCitation":"(Basu et al., 2011)","noteIndex":0},"citationItems":[{"id":1202,"uris":["http://zotero.org/users/5598270/items/YHPMFIDX"],"uri":["http://zotero.org/users/5598270/items/YHPMFIDX"],"itemData":{"id":1202,"type":"article-journal","abstract":"Lifecycle funds offered to retirement plan participants gradually reduce their exposure to stocks as they approach the target date of retirement. We show that such deterministic switching rules produce inferior wealth outcomes for the investor compared to strategies that dynamically alter the allocation between growth and conservative assets based on cumulative portfolio performance relative to a set target. The dynamic allocation strategies proposed in this paper exhibit almost stochastic dominance (ASD) over strategies that switch assets unidirectionally without consideration of portfolio performance.","container-title":"The Journal of Portfolio Management","DOI":"10.3905/jpm.2011.37.2.083","ISSN":"0095-4918, 2168-8656","issue":"2","journalAbbreviation":"JPM","language":"en","page":"83-96","source":"DOI.org (Crossref)","title":"Dynamic Lifecycle Strategies for Target DateRetirement Funds","volume":"37","author":[{"family":"Basu","given":"Anup K."},{"family":"Byrne","given":"Alistair"},{"family":"Drew","given":"Michael E."}],"issued":{"date-parts":[["2011",1,31]]}}}],"schema":"https://github.com/citation-style-language/schema/raw/master/csl-citation.json"} </w:instrText>
      </w:r>
      <w:r w:rsidR="004F2391">
        <w:fldChar w:fldCharType="separate"/>
      </w:r>
      <w:r w:rsidR="004F2391" w:rsidRPr="004F2391">
        <w:rPr>
          <w:rFonts w:ascii="Calibri" w:hAnsi="Calibri" w:cs="Calibri"/>
        </w:rPr>
        <w:t>(Basu et al., 2011)</w:t>
      </w:r>
      <w:r w:rsidR="004F2391">
        <w:fldChar w:fldCharType="end"/>
      </w:r>
      <w:r w:rsidR="004F2391">
        <w:t xml:space="preserve">. </w:t>
      </w:r>
      <w:r w:rsidR="008228C0">
        <w:t xml:space="preserve">The asset allocation strategy in TDFs is commonly: equity 100% - the age of investor </w:t>
      </w:r>
      <w:r w:rsidR="008228C0">
        <w:fldChar w:fldCharType="begin"/>
      </w:r>
      <w:r w:rsidR="008228C0">
        <w:instrText xml:space="preserve"> ADDIN ZOTERO_ITEM CSL_CITATION {"citationID":"lgFAxzrd","properties":{"formattedCitation":"(Mantilla-Garcia et al., 2020)","plainCitation":"(Mantilla-Garcia et al., 2020)","noteIndex":0},"citationItems":[{"id":1222,"uris":["http://zotero.org/users/5598270/items/M3RKKSYE"],"uri":["http://zotero.org/users/5598270/items/M3RKKSYE"],"itemData":{"id":1222,"type":"article-journal","abstract":"The current trend towards Deﬁned Contribution (DC) retirement systems around the world has rendered the risk management of pension funds crucial for the ﬁnancial health of millions of people. Severe market downturns have put in evidence the need for more eﬀective practices to control losses of retirement income for pension funds’ investors. Although the move from the static allocation of policy portfolios toward target-date funds (TDFs) encouraged by regulators features signiﬁcant improvements, the latter strategies completely ignore the variations in the cost of ﬁnancing future consumption, which lessens the strategies’ ability to control losses in retirement income. While optimal long-term portfolio selection literature emphasizes the importance of hedging against changes in the discount rates that determine the cost of ﬁnancing future consumption, TDFs strategies, regulatory incentives, and reporting to pension funds’ investors disregard the variations in long-term discount rates by focusing in absolute returns. We address these shortcomings by (i) developing performance metrics, such as DC funding-ratios, that foster appropriate incentives for pension fund managers and more sensible and simple reporting to their investors, (ii) introducing a series of asset allocation rules designed to secure a minimum level of target-income in retirement regardless of the returns of the risky assets in the portfolio. The strategies are consistent with insights from long-term portfolio theory and have the critical advantage of being free of any model or parameter estimation risks. We illustrate its advantages relative to a standard TDF strategy in terms of retirement security.","container-title":"SSRN Electronic Journal","DOI":"10.2139/ssrn.3585154","ISSN":"1556-5068","journalAbbreviation":"SSRN Journal","language":"en","source":"DOI.org (Crossref)","title":"From Defined-Contribution Towards Target-Income Retirement Systems","URL":"https://www.ssrn.com/abstract=3585154","author":[{"family":"Mantilla-Garcia","given":"Daniel"},{"family":"Martinez-Carrasco","given":"Miguel"},{"family":"Garcia Huitron","given":"Manuel Enrique"},{"family":"Muralidhar","given":"Arun"}],"accessed":{"date-parts":[["2020",10,17]]},"issued":{"date-parts":[["2020"]]}}}],"schema":"https://github.com/citation-style-language/schema/raw/master/csl-citation.json"} </w:instrText>
      </w:r>
      <w:r w:rsidR="008228C0">
        <w:fldChar w:fldCharType="separate"/>
      </w:r>
      <w:r w:rsidR="008228C0" w:rsidRPr="000B3CAE">
        <w:rPr>
          <w:rFonts w:ascii="Calibri" w:hAnsi="Calibri" w:cs="Calibri"/>
        </w:rPr>
        <w:t>(Mantilla-Garcia et al., 2020)</w:t>
      </w:r>
      <w:r w:rsidR="008228C0">
        <w:fldChar w:fldCharType="end"/>
      </w:r>
      <w:r w:rsidR="008228C0">
        <w:t xml:space="preserve">. </w:t>
      </w:r>
      <w:r w:rsidR="00917F60">
        <w:t xml:space="preserve">One element of the TDF investment strategy is whether this “glide path” adjustment of the investment portfolio is “to” or “through” the expected retirement date. If it is “to”, the plan stops at that point and remains in a very conservative approach to protect the principal. If it is “through”, then the plan will probably adopt a U-shaped strategy that reduces equity holdings to the retirement date and then increases them beginning at some point during retirement </w:t>
      </w:r>
      <w:r w:rsidR="00917F60">
        <w:fldChar w:fldCharType="begin"/>
      </w:r>
      <w:r w:rsidR="00917F60">
        <w:instrText xml:space="preserve"> ADDIN ZOTERO_ITEM CSL_CITATION {"citationID":"nFEmaMRl","properties":{"formattedCitation":"(Kilgour, 2019)","plainCitation":"(Kilgour, 2019)","noteIndex":0},"citationItems":[{"id":1180,"uris":["http://zotero.org/users/5598270/items/P8X5T6E2"],"uri":["http://zotero.org/users/5598270/items/P8X5T6E2"],"itemData":{"id":1180,"type":"article-journal","abstract":"Traditional employer-sponsored defined-benefit pension plans in the private sector that provided lifetime benefits have declined precipitously since 1985. They have been largely replaced by Section 401(k) plans in which investment control, market risk and longevity risk have been transferred from the employer to the participant. Most participants opted for the low-yielding money market plan default option, which proved inadequate for providing viable retirement income. The Pension Reform Act of 2006 made two important changes to 401(k) plans: (1) allowed automatic enrollment and (2) allowed target-date funds as a “qualified default investment alternative.” This article examines the evolution from defined-benefit pensions to target-date funds and the closely related collective investment trusts.","container-title":"Compensation &amp; Benefits Review","DOI":"10.1177/0886368719864480","ISSN":"0886-3687, 1552-3837","issue":"2","journalAbbreviation":"Compensation &amp; Benefits Review","language":"en","page":"77-85","source":"DOI.org (Crossref)","title":"The Evolution of Private Sector Retirement Income From Defined-Benefit Pensions to Target-Date 401(k) Plans","volume":"51","author":[{"family":"Kilgour","given":"John G."}],"issued":{"date-parts":[["2019",4]]}}}],"schema":"https://github.com/citation-style-language/schema/raw/master/csl-citation.json"} </w:instrText>
      </w:r>
      <w:r w:rsidR="00917F60">
        <w:fldChar w:fldCharType="separate"/>
      </w:r>
      <w:r w:rsidR="00917F60" w:rsidRPr="00917F60">
        <w:rPr>
          <w:rFonts w:ascii="Calibri" w:hAnsi="Calibri" w:cs="Calibri"/>
        </w:rPr>
        <w:t>(Kilgour, 2019)</w:t>
      </w:r>
      <w:r w:rsidR="00917F60">
        <w:fldChar w:fldCharType="end"/>
      </w:r>
      <w:r w:rsidR="00917F60">
        <w:t>.</w:t>
      </w:r>
    </w:p>
    <w:p w14:paraId="55227F8D" w14:textId="77777777" w:rsidR="00963F61" w:rsidRDefault="000B3CAE" w:rsidP="004A50F1">
      <w:r>
        <w:t>W</w:t>
      </w:r>
      <w:r w:rsidR="00BE1EE0">
        <w:t>hen investors start to save into the fund at young age, the fraction of equities is high, since in the case of a market crash, it is assumed that young people have time to recover from the losses and therefore can be invested in more riskily. On the other hand, older people who are close to retirement don’t have time to recover from losses and the total amount of money they have invested into funds is generally much higher than the younger people. Therefore, the asset allocation near the retirement should be less risky</w:t>
      </w:r>
      <w:r w:rsidR="00963F61">
        <w:t xml:space="preserve"> </w:t>
      </w:r>
      <w:r w:rsidR="00BE1EE0">
        <w:fldChar w:fldCharType="begin"/>
      </w:r>
      <w:r w:rsidR="00BE1EE0">
        <w:instrText xml:space="preserve"> ADDIN ZOTERO_ITEM CSL_CITATION {"citationID":"rG5Ph5mj","properties":{"formattedCitation":"(Forsyth et al., n.d.)","plainCitation":"(Forsyth et al., n.d.)","noteIndex":0},"citationItems":[{"id":1169,"uris":["http://zotero.org/users/5598270/items/X2FBP5QG"],"uri":["http://zotero.org/users/5598270/items/X2FBP5QG"],"itemData":{"id":1169,"type":"article-journal","abstract":"Investors in Target Date Funds are automatically switched from high risk to low risk assets as their retirements approach. Such funds have become very popular, but our analysis brings into question the rationale for them. Based on both a model with parameters ﬁtted to historical returns and on bootstrap resampling, we ﬁnd that adaptive investment strategies signiﬁcantly outperform typical Target Date Fund strategies. This suggests that the vast majority of Target Date Funds are serving investors poorly.","language":"en","page":"9","source":"Zotero","title":"Are target date funds dinosaurs? Failure to adapt can lead to extinction.","author":[{"family":"Forsyth","given":"Peter A"},{"family":"Li","given":"Yuying"},{"family":"Vetzal","given":"Kenneth R"}]}}],"schema":"https://github.com/citation-style-language/schema/raw/master/csl-citation.json"} </w:instrText>
      </w:r>
      <w:r w:rsidR="00BE1EE0">
        <w:fldChar w:fldCharType="separate"/>
      </w:r>
      <w:r w:rsidR="00BE1EE0" w:rsidRPr="00BE1EE0">
        <w:rPr>
          <w:rFonts w:ascii="Calibri" w:hAnsi="Calibri" w:cs="Calibri"/>
        </w:rPr>
        <w:t>(Forsyth et al., n.d.)</w:t>
      </w:r>
      <w:r w:rsidR="00BE1EE0">
        <w:fldChar w:fldCharType="end"/>
      </w:r>
      <w:r w:rsidR="00BE1EE0">
        <w:t>.</w:t>
      </w:r>
      <w:r w:rsidR="00963F61">
        <w:t xml:space="preserve"> </w:t>
      </w:r>
    </w:p>
    <w:p w14:paraId="63962282" w14:textId="114CC84B" w:rsidR="003F63D0" w:rsidRDefault="00963F61" w:rsidP="003F63D0">
      <w:r>
        <w:t xml:space="preserve">There are other viewpoints, too. Typical regular contributions are </w:t>
      </w:r>
      <w:r w:rsidR="003F63D0">
        <w:t xml:space="preserve">normally a fixed percentage of the salary.  In the beginning of the career, the employee’s contributions are small and grow larger in the later years. Therefore, to maximize the retirement fund’s returns, it could be beneficial to invest more in the equity in the later phase </w:t>
      </w:r>
      <w:r w:rsidR="003F63D0">
        <w:fldChar w:fldCharType="begin"/>
      </w:r>
      <w:r w:rsidR="003F63D0">
        <w:instrText xml:space="preserve"> ADDIN ZOTERO_ITEM CSL_CITATION {"citationID":"qVosFsGb","properties":{"formattedCitation":"(Basu et al., 2011)","plainCitation":"(Basu et al., 2011)","noteIndex":0},"citationItems":[{"id":1202,"uris":["http://zotero.org/users/5598270/items/YHPMFIDX"],"uri":["http://zotero.org/users/5598270/items/YHPMFIDX"],"itemData":{"id":1202,"type":"article-journal","abstract":"Lifecycle funds offered to retirement plan participants gradually reduce their exposure to stocks as they approach the target date of retirement. We show that such deterministic switching rules produce inferior wealth outcomes for the investor compared to strategies that dynamically alter the allocation between growth and conservative assets based on cumulative portfolio performance relative to a set target. The dynamic allocation strategies proposed in this paper exhibit almost stochastic dominance (ASD) over strategies that switch assets unidirectionally without consideration of portfolio performance.","container-title":"The Journal of Portfolio Management","DOI":"10.3905/jpm.2011.37.2.083","ISSN":"0095-4918, 2168-8656","issue":"2","journalAbbreviation":"JPM","language":"en","page":"83-96","source":"DOI.org (Crossref)","title":"Dynamic Lifecycle Strategies for Target DateRetirement Funds","volume":"37","author":[{"family":"Basu","given":"Anup K."},{"family":"Byrne","given":"Alistair"},{"family":"Drew","given":"Michael E."}],"issued":{"date-parts":[["2011",1,31]]}}}],"schema":"https://github.com/citation-style-language/schema/raw/master/csl-citation.json"} </w:instrText>
      </w:r>
      <w:r w:rsidR="003F63D0">
        <w:fldChar w:fldCharType="separate"/>
      </w:r>
      <w:r w:rsidR="003F63D0" w:rsidRPr="00963F61">
        <w:rPr>
          <w:rFonts w:ascii="Calibri" w:hAnsi="Calibri" w:cs="Calibri"/>
        </w:rPr>
        <w:t>(Basu et al., 2011)</w:t>
      </w:r>
      <w:r w:rsidR="003F63D0">
        <w:fldChar w:fldCharType="end"/>
      </w:r>
      <w:r w:rsidR="003F63D0">
        <w:t xml:space="preserve">. Other studies by </w:t>
      </w:r>
      <w:proofErr w:type="spellStart"/>
      <w:r w:rsidR="003F63D0" w:rsidRPr="003F63D0">
        <w:rPr>
          <w:highlight w:val="yellow"/>
        </w:rPr>
        <w:t>Basu</w:t>
      </w:r>
      <w:proofErr w:type="spellEnd"/>
      <w:r w:rsidR="003F63D0" w:rsidRPr="003F63D0">
        <w:rPr>
          <w:highlight w:val="yellow"/>
        </w:rPr>
        <w:t xml:space="preserve"> and Drew (2009) Arnott et al (2013) Estrada (2014)</w:t>
      </w:r>
      <w:r w:rsidR="003F63D0">
        <w:t xml:space="preserve"> argue, that </w:t>
      </w:r>
      <w:r w:rsidR="00F468A2">
        <w:t>the amount of equity during the lifetime of the investment period should follow a U-shaped pattern, meaning that in the beginning and end the fund should be heavily invested into equity, and less in the middle. I</w:t>
      </w:r>
      <w:r w:rsidR="003F63D0">
        <w:t xml:space="preserve">f during the investment period there is a financial shock, the total returns of fund are not necessarily enough to last through the retirement. </w:t>
      </w:r>
      <w:r w:rsidR="00F468A2">
        <w:t xml:space="preserve">Another argument is that </w:t>
      </w:r>
      <w:r w:rsidR="003F63D0">
        <w:t>if the shock is at the end</w:t>
      </w:r>
      <w:r w:rsidR="00F468A2">
        <w:t>-side</w:t>
      </w:r>
      <w:r w:rsidR="003F63D0">
        <w:t xml:space="preserve"> of the investment period</w:t>
      </w:r>
      <w:r w:rsidR="00F468A2">
        <w:t xml:space="preserve"> when the amount of equities in the portfolio is low, the fund doesn’t benefit much of the following market recovery phase. However, the studies don’t take into account the possibility of a new financial shock near the retirement age, which could mean even greater losses.</w:t>
      </w:r>
    </w:p>
    <w:p w14:paraId="5392B77B" w14:textId="62AA8797" w:rsidR="008228C0" w:rsidRPr="008228C0" w:rsidRDefault="008228C0" w:rsidP="004A50F1">
      <w:r w:rsidRPr="008228C0">
        <w:rPr>
          <w:b/>
          <w:bCs/>
        </w:rPr>
        <w:t>Suitability for retirement – for</w:t>
      </w:r>
    </w:p>
    <w:p w14:paraId="76BA886A" w14:textId="7708CCFC" w:rsidR="008E4F35" w:rsidRDefault="008E4F35" w:rsidP="00DD5025">
      <w:r>
        <w:t>First, investing into retirement target-date funds is easy due to automatic enrollment</w:t>
      </w:r>
      <w:r w:rsidR="00A827D8">
        <w:t xml:space="preserve"> and re-enrollment when changing job</w:t>
      </w:r>
      <w:r>
        <w:t xml:space="preserve">. Employees just need to choose the risk-level of the investment, and then the contributions are automatically deducted from their salary. Second, </w:t>
      </w:r>
      <w:r w:rsidR="00DD5025">
        <w:t xml:space="preserve">the </w:t>
      </w:r>
      <w:r>
        <w:t>fund</w:t>
      </w:r>
      <w:r w:rsidR="00DD5025">
        <w:t>’</w:t>
      </w:r>
      <w:r>
        <w:t xml:space="preserve">s portfolio managers take care </w:t>
      </w:r>
      <w:r>
        <w:lastRenderedPageBreak/>
        <w:t>of the investment decisions</w:t>
      </w:r>
      <w:r w:rsidR="00DD5025">
        <w:t xml:space="preserve"> on behalf of the investor</w:t>
      </w:r>
      <w:r>
        <w:t xml:space="preserve">. This ensures that people who don’t know or don’t want to make active investment decisions, </w:t>
      </w:r>
      <w:r w:rsidR="00DD5025">
        <w:t>have their money invested according to their risk appetite</w:t>
      </w:r>
      <w:r w:rsidR="00A827D8">
        <w:t xml:space="preserve">, usually with the automatic reduction of stocks as time passes </w:t>
      </w:r>
      <w:r w:rsidR="00A827D8">
        <w:fldChar w:fldCharType="begin"/>
      </w:r>
      <w:r w:rsidR="00A827D8">
        <w:instrText xml:space="preserve"> ADDIN ZOTERO_ITEM CSL_CITATION {"citationID":"gVXn3OS2","properties":{"formattedCitation":"(Bodie &amp; Treussard, 2007)","plainCitation":"(Bodie &amp; Treussard, 2007)","noteIndex":0},"citationItems":[{"id":1200,"uris":["http://zotero.org/users/5598270/items/RV4AG7MV"],"uri":["http://zotero.org/users/5598270/items/RV4AG7MV"],"itemData":{"id":1200,"type":"article-journal","container-title":"Financial Analysts Journal","DOI":"10.2469/faj.v63.n3.4689","ISSN":"0015-198X, 1938-3312","issue":"3","journalAbbreviation":"Financial Analysts Journal","language":"en","page":"42-47","source":"DOI.org (Crossref)","title":"Making Investment Choices as Simple as Possible, but Not Simpler","volume":"63","author":[{"family":"Bodie","given":"Zvi"},{"family":"Treussard","given":"Jonathan"}],"issued":{"date-parts":[["2007",5]]}}}],"schema":"https://github.com/citation-style-language/schema/raw/master/csl-citation.json"} </w:instrText>
      </w:r>
      <w:r w:rsidR="00A827D8">
        <w:fldChar w:fldCharType="separate"/>
      </w:r>
      <w:r w:rsidR="00A827D8" w:rsidRPr="00A827D8">
        <w:rPr>
          <w:rFonts w:ascii="Calibri" w:hAnsi="Calibri" w:cs="Calibri"/>
        </w:rPr>
        <w:t>(Bodie &amp; Treussard, 2007)</w:t>
      </w:r>
      <w:r w:rsidR="00A827D8">
        <w:fldChar w:fldCharType="end"/>
      </w:r>
      <w:r w:rsidR="00A827D8">
        <w:t xml:space="preserve">. </w:t>
      </w:r>
      <w:r>
        <w:t xml:space="preserve">Third, the 401(k)-retirement plan </w:t>
      </w:r>
      <w:r w:rsidR="00492962">
        <w:t>contributions can be deducted from the taxes</w:t>
      </w:r>
      <w:r w:rsidR="00DD5025">
        <w:t>. This makes</w:t>
      </w:r>
      <w:r>
        <w:t xml:space="preserve"> it </w:t>
      </w:r>
      <w:r w:rsidR="00DD5025">
        <w:t xml:space="preserve">economically </w:t>
      </w:r>
      <w:r>
        <w:t xml:space="preserve">beneficial </w:t>
      </w:r>
      <w:r w:rsidR="00DD5025">
        <w:t>for employees t</w:t>
      </w:r>
      <w:r>
        <w:t>o invest into</w:t>
      </w:r>
      <w:r w:rsidR="00DD5025">
        <w:t>, and encourages them to save for the retirement</w:t>
      </w:r>
      <w:r>
        <w:t xml:space="preserve">. </w:t>
      </w:r>
    </w:p>
    <w:p w14:paraId="133CBA0D" w14:textId="28FC0C6F" w:rsidR="008228C0" w:rsidRPr="008228C0" w:rsidRDefault="008228C0" w:rsidP="008228C0">
      <w:r w:rsidRPr="008228C0">
        <w:rPr>
          <w:b/>
          <w:bCs/>
        </w:rPr>
        <w:t>Suitability for retirement – against</w:t>
      </w:r>
    </w:p>
    <w:p w14:paraId="4E44CDD0" w14:textId="5371118E" w:rsidR="00963F61" w:rsidRDefault="00436BBF" w:rsidP="00963F61">
      <w:r>
        <w:t xml:space="preserve">First, there is no guarantee of the safety of the investment. Target-date funds don’t generally provide an annuity, and there are no guarantees on the returns </w:t>
      </w:r>
      <w:r>
        <w:fldChar w:fldCharType="begin"/>
      </w:r>
      <w:r>
        <w:instrText xml:space="preserve"> ADDIN ZOTERO_ITEM CSL_CITATION {"citationID":"SARiKFYM","properties":{"formattedCitation":"(Mantilla-Garcia et al., 2020)","plainCitation":"(Mantilla-Garcia et al., 2020)","noteIndex":0},"citationItems":[{"id":1222,"uris":["http://zotero.org/users/5598270/items/M3RKKSYE"],"uri":["http://zotero.org/users/5598270/items/M3RKKSYE"],"itemData":{"id":1222,"type":"article-journal","abstract":"The current trend towards Deﬁned Contribution (DC) retirement systems around the world has rendered the risk management of pension funds crucial for the ﬁnancial health of millions of people. Severe market downturns have put in evidence the need for more eﬀective practices to control losses of retirement income for pension funds’ investors. Although the move from the static allocation of policy portfolios toward target-date funds (TDFs) encouraged by regulators features signiﬁcant improvements, the latter strategies completely ignore the variations in the cost of ﬁnancing future consumption, which lessens the strategies’ ability to control losses in retirement income. While optimal long-term portfolio selection literature emphasizes the importance of hedging against changes in the discount rates that determine the cost of ﬁnancing future consumption, TDFs strategies, regulatory incentives, and reporting to pension funds’ investors disregard the variations in long-term discount rates by focusing in absolute returns. We address these shortcomings by (i) developing performance metrics, such as DC funding-ratios, that foster appropriate incentives for pension fund managers and more sensible and simple reporting to their investors, (ii) introducing a series of asset allocation rules designed to secure a minimum level of target-income in retirement regardless of the returns of the risky assets in the portfolio. The strategies are consistent with insights from long-term portfolio theory and have the critical advantage of being free of any model or parameter estimation risks. We illustrate its advantages relative to a standard TDF strategy in terms of retirement security.","container-title":"SSRN Electronic Journal","DOI":"10.2139/ssrn.3585154","ISSN":"1556-5068","journalAbbreviation":"SSRN Journal","language":"en","source":"DOI.org (Crossref)","title":"From Defined-Contribution Towards Target-Income Retirement Systems","URL":"https://www.ssrn.com/abstract=3585154","author":[{"family":"Mantilla-Garcia","given":"Daniel"},{"family":"Martinez-Carrasco","given":"Miguel"},{"family":"Garcia Huitron","given":"Manuel Enrique"},{"family":"Muralidhar","given":"Arun"}],"accessed":{"date-parts":[["2020",10,17]]},"issued":{"date-parts":[["2020"]]}}}],"schema":"https://github.com/citation-style-language/schema/raw/master/csl-citation.json"} </w:instrText>
      </w:r>
      <w:r>
        <w:fldChar w:fldCharType="separate"/>
      </w:r>
      <w:r w:rsidRPr="00A827D8">
        <w:rPr>
          <w:rFonts w:ascii="Calibri" w:hAnsi="Calibri" w:cs="Calibri"/>
        </w:rPr>
        <w:t>(Mantilla-Garcia et al., 2020)</w:t>
      </w:r>
      <w:r>
        <w:fldChar w:fldCharType="end"/>
      </w:r>
      <w:r>
        <w:t>. This was evident in the 2008 financial crisis, where target-date funds experienced severe losses. If investor wants to have a less-risky investment vehicle, he or she needs to do active investment decisions</w:t>
      </w:r>
      <w:r w:rsidR="00963F61">
        <w:t xml:space="preserve">, either choosing a safer target-date fund or another way of saving. Second, target-date funds are not necessarily an optimal way of retirement saving. Target-date funds apply a deterministic strategy, meaning they only consider the time remaining until target date in their portfolio composition </w:t>
      </w:r>
      <w:r w:rsidR="00963F61">
        <w:fldChar w:fldCharType="begin"/>
      </w:r>
      <w:r w:rsidR="00963F61">
        <w:instrText xml:space="preserve"> ADDIN ZOTERO_ITEM CSL_CITATION {"citationID":"hMcBLyxr","properties":{"formattedCitation":"(Forsyth &amp; Vetzal, 2019)","plainCitation":"(Forsyth &amp; Vetzal, 2019)","noteIndex":0},"citationItems":[{"id":1212,"uris":["http://zotero.org/users/5598270/items/87DPQN89"],"uri":["http://zotero.org/users/5598270/items/87DPQN89"],"itemData":{"id":1212,"type":"article-journal","abstract":"We consider optimal asset allocation for an investor saving for retirement. The portfolio contains a bond index and a stock index. We use multi-period criteria and explore two types of strategies: deterministic strategies are based only on the time remaining until the anticipated retirement date, while adaptive strategies also consider the investor’s accumulated wealth. The vast majority of ﬁnancial products designed for retirement saving use deterministic strategies (e.g., target date funds). In the deterministic case, we determine an optimal open loop control using mean-variance criteria. In the adaptive case, we use time consistent mean-variance and quadratic shortfall objectives. Tests based on both a synthetic market where the stock index is modelled by a jump-diﬀusion process and also on bootstrap resampling of long-term historical data show that the optimal adaptive strategies signiﬁcantly outperform the optimal deterministic strategy. This suggests that investors are not being well served by the strategies currently dominating the marketplace.","container-title":"Applied Mathematical Finance","DOI":"10.1080/1350486X.2019.1584534","ISSN":"1350-486X, 1466-4313","issue":"1","journalAbbreviation":"Applied Mathematical Finance","language":"en","page":"1-37","source":"DOI.org (Crossref)","title":"Optimal Asset Allocation for Retirement Saving: Deterministic Vs. Time Consistent Adaptive Strategies","title-short":"Optimal Asset Allocation for Retirement Saving","volume":"26","author":[{"family":"Forsyth","given":"Peter A."},{"family":"Vetzal","given":"Kenneth R."}],"issued":{"date-parts":[["2019",1,2]]}}}],"schema":"https://github.com/citation-style-language/schema/raw/master/csl-citation.json"} </w:instrText>
      </w:r>
      <w:r w:rsidR="00963F61">
        <w:fldChar w:fldCharType="separate"/>
      </w:r>
      <w:r w:rsidR="00963F61" w:rsidRPr="006C281F">
        <w:rPr>
          <w:rFonts w:ascii="Calibri" w:hAnsi="Calibri" w:cs="Calibri"/>
        </w:rPr>
        <w:t>(Forsyth &amp; Vetzal, 2019)</w:t>
      </w:r>
      <w:r w:rsidR="00963F61">
        <w:fldChar w:fldCharType="end"/>
      </w:r>
      <w:r w:rsidR="00963F61">
        <w:t xml:space="preserve">. Adaptive investment strategies, that take into account the accumulated wealth, could perform better and be less risky than the deterministic strategy </w:t>
      </w:r>
      <w:r w:rsidR="00963F61">
        <w:fldChar w:fldCharType="begin"/>
      </w:r>
      <w:r w:rsidR="00963F61">
        <w:instrText xml:space="preserve"> ADDIN ZOTERO_ITEM CSL_CITATION {"citationID":"c5REymzC","properties":{"formattedCitation":"(Forsyth et al., n.d.)","plainCitation":"(Forsyth et al., n.d.)","noteIndex":0},"citationItems":[{"id":1169,"uris":["http://zotero.org/users/5598270/items/X2FBP5QG"],"uri":["http://zotero.org/users/5598270/items/X2FBP5QG"],"itemData":{"id":1169,"type":"article-journal","abstract":"Investors in Target Date Funds are automatically switched from high risk to low risk assets as their retirements approach. Such funds have become very popular, but our analysis brings into question the rationale for them. Based on both a model with parameters ﬁtted to historical returns and on bootstrap resampling, we ﬁnd that adaptive investment strategies signiﬁcantly outperform typical Target Date Fund strategies. This suggests that the vast majority of Target Date Funds are serving investors poorly.","language":"en","page":"9","source":"Zotero","title":"Are target date funds dinosaurs? Failure to adapt can lead to extinction.","author":[{"family":"Forsyth","given":"Peter A"},{"family":"Li","given":"Yuying"},{"family":"Vetzal","given":"Kenneth R"}]}}],"schema":"https://github.com/citation-style-language/schema/raw/master/csl-citation.json"} </w:instrText>
      </w:r>
      <w:r w:rsidR="00963F61">
        <w:fldChar w:fldCharType="separate"/>
      </w:r>
      <w:r w:rsidR="00963F61" w:rsidRPr="00A827D8">
        <w:rPr>
          <w:rFonts w:ascii="Calibri" w:hAnsi="Calibri" w:cs="Calibri"/>
        </w:rPr>
        <w:t>(Forsyth et al., n.d.)</w:t>
      </w:r>
      <w:r w:rsidR="00963F61">
        <w:fldChar w:fldCharType="end"/>
      </w:r>
      <w:r w:rsidR="00963F61">
        <w:t xml:space="preserve"> </w:t>
      </w:r>
      <w:r w:rsidR="00963F61">
        <w:fldChar w:fldCharType="begin"/>
      </w:r>
      <w:r w:rsidR="00963F61">
        <w:instrText xml:space="preserve"> ADDIN ZOTERO_ITEM CSL_CITATION {"citationID":"Z8ZsqkEq","properties":{"formattedCitation":"(Basu et al., 2011)","plainCitation":"(Basu et al., 2011)","noteIndex":0},"citationItems":[{"id":1202,"uris":["http://zotero.org/users/5598270/items/YHPMFIDX"],"uri":["http://zotero.org/users/5598270/items/YHPMFIDX"],"itemData":{"id":1202,"type":"article-journal","abstract":"Lifecycle funds offered to retirement plan participants gradually reduce their exposure to stocks as they approach the target date of retirement. We show that such deterministic switching rules produce inferior wealth outcomes for the investor compared to strategies that dynamically alter the allocation between growth and conservative assets based on cumulative portfolio performance relative to a set target. The dynamic allocation strategies proposed in this paper exhibit almost stochastic dominance (ASD) over strategies that switch assets unidirectionally without consideration of portfolio performance.","container-title":"The Journal of Portfolio Management","DOI":"10.3905/jpm.2011.37.2.083","ISSN":"0095-4918, 2168-8656","issue":"2","journalAbbreviation":"JPM","language":"en","page":"83-96","source":"DOI.org (Crossref)","title":"Dynamic Lifecycle Strategies for Target DateRetirement Funds","volume":"37","author":[{"family":"Basu","given":"Anup K."},{"family":"Byrne","given":"Alistair"},{"family":"Drew","given":"Michael E."}],"issued":{"date-parts":[["2011",1,31]]}}}],"schema":"https://github.com/citation-style-language/schema/raw/master/csl-citation.json"} </w:instrText>
      </w:r>
      <w:r w:rsidR="00963F61">
        <w:fldChar w:fldCharType="separate"/>
      </w:r>
      <w:r w:rsidR="00963F61" w:rsidRPr="00A827D8">
        <w:rPr>
          <w:rFonts w:ascii="Calibri" w:hAnsi="Calibri" w:cs="Calibri"/>
        </w:rPr>
        <w:t>(Basu et al., 2011)</w:t>
      </w:r>
      <w:r w:rsidR="00963F61">
        <w:fldChar w:fldCharType="end"/>
      </w:r>
      <w:r w:rsidR="00963F61">
        <w:t>. However, the results of the authors are based only in statistical models.</w:t>
      </w:r>
      <w:r w:rsidR="00EA0BE0">
        <w:t xml:space="preserve"> Third, </w:t>
      </w:r>
    </w:p>
    <w:p w14:paraId="33BB4955" w14:textId="578B6ABD" w:rsidR="00EA0BE0" w:rsidRDefault="00EA0BE0" w:rsidP="00963F61"/>
    <w:p w14:paraId="1A8ACBE0" w14:textId="325FF8D9" w:rsidR="00EA0BE0" w:rsidRDefault="00EA0BE0" w:rsidP="00963F61">
      <w:r w:rsidRPr="00A31768">
        <w:rPr>
          <w:highlight w:val="yellow"/>
        </w:rPr>
        <w:t>Not tailored, one-size-fits-all</w:t>
      </w:r>
    </w:p>
    <w:p w14:paraId="166A78E5" w14:textId="16310793" w:rsidR="00EA0BE0" w:rsidRDefault="00EA0BE0" w:rsidP="00963F61">
      <w:r>
        <w:rPr>
          <w:rFonts w:ascii="Open Sans" w:hAnsi="Open Sans" w:cs="Open Sans"/>
          <w:color w:val="1C1D1E"/>
          <w:shd w:val="clear" w:color="auto" w:fill="FFFFFF"/>
        </w:rPr>
        <w:t>One explanation is that TDFs could be unattractive because the simple age</w:t>
      </w:r>
      <w:r>
        <w:rPr>
          <w:rFonts w:ascii="Cambria Math" w:hAnsi="Cambria Math" w:cs="Cambria Math"/>
          <w:color w:val="1C1D1E"/>
          <w:shd w:val="clear" w:color="auto" w:fill="FFFFFF"/>
        </w:rPr>
        <w:t>‐</w:t>
      </w:r>
      <w:r>
        <w:rPr>
          <w:rFonts w:ascii="Open Sans" w:hAnsi="Open Sans" w:cs="Open Sans"/>
          <w:color w:val="1C1D1E"/>
          <w:shd w:val="clear" w:color="auto" w:fill="FFFFFF"/>
        </w:rPr>
        <w:t>based rule is not personalized to individual preferences and circumstances (</w:t>
      </w:r>
      <w:proofErr w:type="spellStart"/>
      <w:r>
        <w:rPr>
          <w:rFonts w:ascii="Open Sans" w:hAnsi="Open Sans" w:cs="Open Sans"/>
          <w:color w:val="1C1D1E"/>
          <w:shd w:val="clear" w:color="auto" w:fill="FFFFFF"/>
        </w:rPr>
        <w:t>Ameriks</w:t>
      </w:r>
      <w:proofErr w:type="spellEnd"/>
      <w:r>
        <w:rPr>
          <w:rFonts w:ascii="Open Sans" w:hAnsi="Open Sans" w:cs="Open Sans"/>
          <w:color w:val="1C1D1E"/>
          <w:shd w:val="clear" w:color="auto" w:fill="FFFFFF"/>
        </w:rPr>
        <w:t>, Hamilton, &amp; Ren, </w:t>
      </w:r>
      <w:hyperlink r:id="rId5" w:anchor="bdm2122-bib-0002" w:history="1">
        <w:r>
          <w:rPr>
            <w:rStyle w:val="Hyperlink"/>
            <w:rFonts w:ascii="Open Sans" w:hAnsi="Open Sans" w:cs="Open Sans"/>
            <w:b/>
            <w:bCs/>
            <w:color w:val="000000"/>
          </w:rPr>
          <w:t>2011</w:t>
        </w:r>
      </w:hyperlink>
      <w:r>
        <w:rPr>
          <w:rFonts w:ascii="Open Sans" w:hAnsi="Open Sans" w:cs="Open Sans"/>
          <w:color w:val="1C1D1E"/>
          <w:shd w:val="clear" w:color="auto" w:fill="FFFFFF"/>
        </w:rPr>
        <w:t>; Kim, Maurer, &amp; Mitchell, </w:t>
      </w:r>
      <w:hyperlink r:id="rId6" w:anchor="bdm2122-bib-0055" w:history="1">
        <w:r>
          <w:rPr>
            <w:rStyle w:val="Hyperlink"/>
            <w:rFonts w:ascii="Open Sans" w:hAnsi="Open Sans" w:cs="Open Sans"/>
            <w:b/>
            <w:bCs/>
            <w:color w:val="000000"/>
          </w:rPr>
          <w:t>2016</w:t>
        </w:r>
      </w:hyperlink>
      <w:r>
        <w:rPr>
          <w:rFonts w:ascii="Open Sans" w:hAnsi="Open Sans" w:cs="Open Sans"/>
          <w:color w:val="1C1D1E"/>
          <w:shd w:val="clear" w:color="auto" w:fill="FFFFFF"/>
        </w:rPr>
        <w:t xml:space="preserve">). For example, conservative cash investors or aggressive equity investors may find TDFs inconsistent with their preferences (Pagliaro &amp; </w:t>
      </w:r>
      <w:proofErr w:type="spellStart"/>
      <w:r>
        <w:rPr>
          <w:rFonts w:ascii="Open Sans" w:hAnsi="Open Sans" w:cs="Open Sans"/>
          <w:color w:val="1C1D1E"/>
          <w:shd w:val="clear" w:color="auto" w:fill="FFFFFF"/>
        </w:rPr>
        <w:t>Utkus</w:t>
      </w:r>
      <w:proofErr w:type="spellEnd"/>
      <w:r>
        <w:rPr>
          <w:rFonts w:ascii="Open Sans" w:hAnsi="Open Sans" w:cs="Open Sans"/>
          <w:color w:val="1C1D1E"/>
          <w:shd w:val="clear" w:color="auto" w:fill="FFFFFF"/>
        </w:rPr>
        <w:t>, </w:t>
      </w:r>
      <w:hyperlink r:id="rId7" w:anchor="bdm2122-bib-0065" w:history="1">
        <w:r>
          <w:rPr>
            <w:rStyle w:val="Hyperlink"/>
            <w:rFonts w:ascii="Open Sans" w:hAnsi="Open Sans" w:cs="Open Sans"/>
            <w:b/>
            <w:bCs/>
            <w:color w:val="000000"/>
          </w:rPr>
          <w:t>2017</w:t>
        </w:r>
      </w:hyperlink>
      <w:r>
        <w:rPr>
          <w:rFonts w:ascii="Open Sans" w:hAnsi="Open Sans" w:cs="Open Sans"/>
          <w:color w:val="1C1D1E"/>
          <w:shd w:val="clear" w:color="auto" w:fill="FFFFFF"/>
        </w:rPr>
        <w:t>).</w:t>
      </w:r>
    </w:p>
    <w:p w14:paraId="5D044F4A" w14:textId="39A94635" w:rsidR="00003D42" w:rsidRDefault="00EA0BE0" w:rsidP="00003D42">
      <w:hyperlink r:id="rId8" w:history="1">
        <w:r w:rsidRPr="00896E53">
          <w:rPr>
            <w:rStyle w:val="Hyperlink"/>
          </w:rPr>
          <w:t>https://onlinelibrary-wiley-com.vu-nl.idm.oclc.org/doi/full/10.1002/bdm.2122</w:t>
        </w:r>
      </w:hyperlink>
      <w:r>
        <w:t xml:space="preserve"> &lt;-- </w:t>
      </w:r>
      <w:proofErr w:type="spellStart"/>
      <w:r>
        <w:t>lähteet</w:t>
      </w:r>
      <w:proofErr w:type="spellEnd"/>
    </w:p>
    <w:p w14:paraId="3762C6B2" w14:textId="77777777" w:rsidR="00FB5CF7" w:rsidRDefault="00FB5CF7" w:rsidP="00FB5CF7">
      <w:pPr>
        <w:shd w:val="clear" w:color="auto" w:fill="FFFFFF"/>
        <w:spacing w:before="60" w:after="100" w:afterAutospacing="1" w:line="240" w:lineRule="auto"/>
        <w:rPr>
          <w:rFonts w:ascii="Segoe UI" w:eastAsia="Times New Roman" w:hAnsi="Segoe UI" w:cs="Segoe UI"/>
          <w:color w:val="24292E"/>
          <w:sz w:val="24"/>
          <w:szCs w:val="24"/>
        </w:rPr>
      </w:pPr>
    </w:p>
    <w:p w14:paraId="34E250CA" w14:textId="3198362A" w:rsidR="00FB5CF7" w:rsidRPr="00FB5CF7" w:rsidRDefault="00FB5CF7" w:rsidP="00FB5CF7">
      <w:pPr>
        <w:shd w:val="clear" w:color="auto" w:fill="FFFFFF"/>
        <w:spacing w:before="60" w:after="100" w:afterAutospacing="1" w:line="240" w:lineRule="auto"/>
        <w:rPr>
          <w:rFonts w:ascii="Segoe UI" w:eastAsia="Times New Roman" w:hAnsi="Segoe UI" w:cs="Segoe UI"/>
          <w:color w:val="24292E"/>
          <w:sz w:val="24"/>
          <w:szCs w:val="24"/>
        </w:rPr>
      </w:pPr>
      <w:r w:rsidRPr="00FB5CF7">
        <w:rPr>
          <w:rFonts w:ascii="Segoe UI" w:eastAsia="Times New Roman" w:hAnsi="Segoe UI" w:cs="Segoe UI"/>
          <w:color w:val="24292E"/>
          <w:sz w:val="24"/>
          <w:szCs w:val="24"/>
        </w:rPr>
        <w:t xml:space="preserve">TDF strategy </w:t>
      </w:r>
      <w:proofErr w:type="spellStart"/>
      <w:r w:rsidRPr="00FB5CF7">
        <w:rPr>
          <w:rFonts w:ascii="Segoe UI" w:eastAsia="Times New Roman" w:hAnsi="Segoe UI" w:cs="Segoe UI"/>
          <w:color w:val="24292E"/>
          <w:sz w:val="24"/>
          <w:szCs w:val="24"/>
        </w:rPr>
        <w:t>unoptimal</w:t>
      </w:r>
      <w:proofErr w:type="spellEnd"/>
      <w:r w:rsidRPr="00FB5CF7">
        <w:rPr>
          <w:rFonts w:ascii="Segoe UI" w:eastAsia="Times New Roman" w:hAnsi="Segoe UI" w:cs="Segoe UI"/>
          <w:color w:val="24292E"/>
          <w:sz w:val="24"/>
          <w:szCs w:val="24"/>
        </w:rPr>
        <w:t>, people have different risk aversion</w:t>
      </w:r>
    </w:p>
    <w:p w14:paraId="26CC568B" w14:textId="00BEC500" w:rsidR="000B3CAE" w:rsidRDefault="00FB5CF7" w:rsidP="00003D42">
      <w:r>
        <w:fldChar w:fldCharType="begin"/>
      </w:r>
      <w:r>
        <w:instrText xml:space="preserve"> ADDIN ZOTERO_ITEM CSL_CITATION {"citationID":"dX6KrQyb","properties":{"formattedCitation":"(Bodie &amp; Treussard, 2007)","plainCitation":"(Bodie &amp; Treussard, 2007)","noteIndex":0},"citationItems":[{"id":1200,"uris":["http://zotero.org/users/5598270/items/RV4AG7MV"],"uri":["http://zotero.org/users/5598270/items/RV4AG7MV"],"itemData":{"id":1200,"type":"article-journal","container-title":"Financial Analysts Journal","DOI":"10.2469/faj.v63.n3.4689","ISSN":"0015-198X, 1938-3312","issue":"3","journalAbbreviation":"Financial Analysts Journal","language":"en","page":"42-47","source":"DOI.org (Crossref)","title":"Making Investment Choices as Simple as Possible, but Not Simpler","volume":"63","author":[{"family":"Bodie","given":"Zvi"},{"family":"Treussard","given":"Jonathan"}],"issued":{"date-parts":[["2007",5]]}}}],"schema":"https://github.com/citation-style-language/schema/raw/master/csl-citation.json"} </w:instrText>
      </w:r>
      <w:r>
        <w:fldChar w:fldCharType="separate"/>
      </w:r>
      <w:r w:rsidRPr="00FB5CF7">
        <w:rPr>
          <w:rFonts w:ascii="Calibri" w:hAnsi="Calibri" w:cs="Calibri"/>
        </w:rPr>
        <w:t xml:space="preserve">(Bodie &amp; </w:t>
      </w:r>
      <w:proofErr w:type="spellStart"/>
      <w:r w:rsidRPr="00FB5CF7">
        <w:rPr>
          <w:rFonts w:ascii="Calibri" w:hAnsi="Calibri" w:cs="Calibri"/>
        </w:rPr>
        <w:t>Treussard</w:t>
      </w:r>
      <w:proofErr w:type="spellEnd"/>
      <w:r w:rsidRPr="00FB5CF7">
        <w:rPr>
          <w:rFonts w:ascii="Calibri" w:hAnsi="Calibri" w:cs="Calibri"/>
        </w:rPr>
        <w:t>, 2007)</w:t>
      </w:r>
      <w:r>
        <w:fldChar w:fldCharType="end"/>
      </w:r>
    </w:p>
    <w:p w14:paraId="3EFA7085" w14:textId="28BB7250" w:rsidR="00FB5CF7" w:rsidRDefault="00FB5CF7" w:rsidP="00003D42"/>
    <w:p w14:paraId="3A1D324B" w14:textId="77777777" w:rsidR="00FB5CF7" w:rsidRDefault="00FB5CF7" w:rsidP="00003D42"/>
    <w:p w14:paraId="2CE90C87" w14:textId="685ECD75" w:rsidR="000B3CAE" w:rsidRDefault="00A31768" w:rsidP="00003D42">
      <w:r w:rsidRPr="00A31768">
        <w:rPr>
          <w:highlight w:val="yellow"/>
        </w:rPr>
        <w:t>Description</w:t>
      </w:r>
      <w:r>
        <w:t xml:space="preserve">: </w:t>
      </w:r>
      <w:r>
        <w:t>“one-stop” or a “set it and forget it” retirement portfolio solution</w:t>
      </w:r>
    </w:p>
    <w:p w14:paraId="030BD7BA" w14:textId="2EBC2F93" w:rsidR="00624C92" w:rsidRDefault="00A31768" w:rsidP="00003D42">
      <w:r w:rsidRPr="00A31768">
        <w:rPr>
          <w:highlight w:val="yellow"/>
        </w:rPr>
        <w:t>Description:</w:t>
      </w:r>
      <w:r>
        <w:t xml:space="preserve"> </w:t>
      </w:r>
      <w:r>
        <w:t>In retirement planning, the period of time beginning from when an individual starts working and saving for retirement up until the retirement date is termed the “accumulation phase.”</w:t>
      </w:r>
    </w:p>
    <w:p w14:paraId="635F5E0E" w14:textId="3A880D06" w:rsidR="00624C92" w:rsidRDefault="00A31768" w:rsidP="00003D42">
      <w:r w:rsidRPr="00A31768">
        <w:rPr>
          <w:highlight w:val="yellow"/>
        </w:rPr>
        <w:t>Popularity</w:t>
      </w:r>
      <w:r>
        <w:t xml:space="preserve">: </w:t>
      </w:r>
      <w:r>
        <w:t>TDFs were explicitly identified as a default alternative or “safe harbor” investment class where un-allocated employee DC contributions could be directed</w:t>
      </w:r>
      <w:r w:rsidR="00C850B4">
        <w:t xml:space="preserve"> </w:t>
      </w:r>
      <w:r w:rsidR="00C850B4">
        <w:fldChar w:fldCharType="begin"/>
      </w:r>
      <w:r w:rsidR="00C850B4">
        <w:instrText xml:space="preserve"> ADDIN ZOTERO_ITEM CSL_CITATION {"citationID":"mfOdoQUP","properties":{"formattedCitation":"(Cusano, 2019)","plainCitation":"(Cusano, 2019)","noteIndex":0},"citationItems":[{"id":1241,"uris":["http://zotero.org/users/5598270/items/Z34WFXRX"],"uri":["http://zotero.org/users/5598270/items/Z34WFXRX"],"itemData":{"id":1241,"type":"article-journal","container-title":"SSRN Electronic Journal","DOI":"10.2139/ssrn.3506849","ISSN":"1556-5068","journalAbbreviation":"SSRN Journal","language":"en","source":"DOI.org (Crossref)","title":"The Rise the Duty of Prudence and Demise of the Large-Menu Defense: An Update on Recent Erisa Litigation and Divane v. Northwestern","title-short":"The Rise the Duty of Prudence and Demise of the Large-Menu Defense","URL":"https://www.ssrn.com/abstract=3506849","author":[{"family":"Cusano","given":"Louis"}],"accessed":{"date-parts":[["2020",11,7]]},"issued":{"date-parts":[["2019"]]}}}],"schema":"https://github.com/citation-style-language/schema/raw/master/csl-citation.json"} </w:instrText>
      </w:r>
      <w:r w:rsidR="00C850B4">
        <w:fldChar w:fldCharType="separate"/>
      </w:r>
      <w:r w:rsidR="00C850B4" w:rsidRPr="00C850B4">
        <w:rPr>
          <w:rFonts w:ascii="Calibri" w:hAnsi="Calibri" w:cs="Calibri"/>
        </w:rPr>
        <w:t>(Cusano, 2019)</w:t>
      </w:r>
      <w:r w:rsidR="00C850B4">
        <w:fldChar w:fldCharType="end"/>
      </w:r>
    </w:p>
    <w:p w14:paraId="52C1A10B" w14:textId="77777777" w:rsidR="00A31768" w:rsidRDefault="00A31768" w:rsidP="00003D42"/>
    <w:p w14:paraId="0C09187E" w14:textId="5BC8AE09" w:rsidR="00624C92" w:rsidRDefault="00624C92" w:rsidP="00003D42">
      <w:r>
        <w:t>Dataset: late 2017</w:t>
      </w:r>
    </w:p>
    <w:p w14:paraId="3CC97ACB" w14:textId="560BC997" w:rsidR="00624C92" w:rsidRDefault="00624C92" w:rsidP="00003D42"/>
    <w:p w14:paraId="1D4190A1" w14:textId="4D4A15FE" w:rsidR="00D30696" w:rsidRDefault="00D30696" w:rsidP="00003D42">
      <w:r>
        <w:lastRenderedPageBreak/>
        <w:t>Retireme</w:t>
      </w:r>
      <w:r w:rsidR="006E66D2">
        <w:t>n</w:t>
      </w:r>
      <w:r>
        <w:t xml:space="preserve">t income not taken into account (Garcia 2020), </w:t>
      </w:r>
      <w:proofErr w:type="spellStart"/>
      <w:r>
        <w:t>muita</w:t>
      </w:r>
      <w:proofErr w:type="spellEnd"/>
      <w:r>
        <w:t xml:space="preserve"> </w:t>
      </w:r>
      <w:proofErr w:type="spellStart"/>
      <w:r>
        <w:t>maita</w:t>
      </w:r>
      <w:proofErr w:type="spellEnd"/>
      <w:r>
        <w:t xml:space="preserve"> </w:t>
      </w:r>
      <w:proofErr w:type="spellStart"/>
      <w:r>
        <w:t>kuin</w:t>
      </w:r>
      <w:proofErr w:type="spellEnd"/>
      <w:r>
        <w:t xml:space="preserve"> </w:t>
      </w:r>
      <w:proofErr w:type="spellStart"/>
      <w:r>
        <w:t>usa</w:t>
      </w:r>
      <w:proofErr w:type="spellEnd"/>
      <w:r>
        <w:t xml:space="preserve"> </w:t>
      </w:r>
      <w:proofErr w:type="spellStart"/>
      <w:r>
        <w:t>tosin</w:t>
      </w:r>
      <w:proofErr w:type="spellEnd"/>
    </w:p>
    <w:p w14:paraId="2E3A9D52" w14:textId="4E83823E" w:rsidR="006E66D2" w:rsidRDefault="006E66D2" w:rsidP="00003D42"/>
    <w:p w14:paraId="26286362" w14:textId="76797ECA" w:rsidR="00B927AC" w:rsidRDefault="00B927AC" w:rsidP="00003D42"/>
    <w:p w14:paraId="49B7D4C4" w14:textId="2C6A5279" w:rsidR="005F78CA" w:rsidRDefault="005F78CA" w:rsidP="007F67D6"/>
    <w:p w14:paraId="37C3A448" w14:textId="77777777" w:rsidR="007F67D6" w:rsidRPr="006E66D2" w:rsidRDefault="007F67D6" w:rsidP="007F67D6">
      <w:pPr>
        <w:rPr>
          <w:b/>
          <w:bCs/>
        </w:rPr>
      </w:pPr>
    </w:p>
    <w:sectPr w:rsidR="007F67D6" w:rsidRPr="006E66D2" w:rsidSect="004909D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3F70"/>
    <w:multiLevelType w:val="hybridMultilevel"/>
    <w:tmpl w:val="D6C4CA02"/>
    <w:lvl w:ilvl="0" w:tplc="E9BEB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23DAC"/>
    <w:multiLevelType w:val="multilevel"/>
    <w:tmpl w:val="57FE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7032F"/>
    <w:multiLevelType w:val="multilevel"/>
    <w:tmpl w:val="8874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401DC"/>
    <w:multiLevelType w:val="hybridMultilevel"/>
    <w:tmpl w:val="5E545526"/>
    <w:lvl w:ilvl="0" w:tplc="6B2275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D41BE"/>
    <w:multiLevelType w:val="multilevel"/>
    <w:tmpl w:val="AF5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C3872"/>
    <w:multiLevelType w:val="multilevel"/>
    <w:tmpl w:val="49B2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71CD5"/>
    <w:multiLevelType w:val="multilevel"/>
    <w:tmpl w:val="7A8E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C4D3D"/>
    <w:multiLevelType w:val="hybridMultilevel"/>
    <w:tmpl w:val="A50688D0"/>
    <w:lvl w:ilvl="0" w:tplc="A03487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A726EB"/>
    <w:multiLevelType w:val="multilevel"/>
    <w:tmpl w:val="784C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1"/>
  </w:num>
  <w:num w:numId="5">
    <w:abstractNumId w:val="8"/>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0MDC3tDQ2MzY3NTFX0lEKTi0uzszPAykwqwUANdSC7SwAAAA="/>
  </w:docVars>
  <w:rsids>
    <w:rsidRoot w:val="009C26A4"/>
    <w:rsid w:val="00003D42"/>
    <w:rsid w:val="00007B34"/>
    <w:rsid w:val="000906D6"/>
    <w:rsid w:val="000B3CAE"/>
    <w:rsid w:val="00316F4B"/>
    <w:rsid w:val="003F0322"/>
    <w:rsid w:val="003F63D0"/>
    <w:rsid w:val="00436BBF"/>
    <w:rsid w:val="004909DC"/>
    <w:rsid w:val="00492962"/>
    <w:rsid w:val="004A50F1"/>
    <w:rsid w:val="004F2391"/>
    <w:rsid w:val="00502CCF"/>
    <w:rsid w:val="005F78CA"/>
    <w:rsid w:val="00624C92"/>
    <w:rsid w:val="006315D6"/>
    <w:rsid w:val="00634C8C"/>
    <w:rsid w:val="006C281F"/>
    <w:rsid w:val="006E66D2"/>
    <w:rsid w:val="00705F38"/>
    <w:rsid w:val="007108FD"/>
    <w:rsid w:val="00716A6C"/>
    <w:rsid w:val="007F67D6"/>
    <w:rsid w:val="008228C0"/>
    <w:rsid w:val="008E0625"/>
    <w:rsid w:val="008E4F35"/>
    <w:rsid w:val="00917F60"/>
    <w:rsid w:val="00963F61"/>
    <w:rsid w:val="009C26A4"/>
    <w:rsid w:val="009D53FE"/>
    <w:rsid w:val="00A31768"/>
    <w:rsid w:val="00A827D8"/>
    <w:rsid w:val="00AE4900"/>
    <w:rsid w:val="00B927AC"/>
    <w:rsid w:val="00BE1EE0"/>
    <w:rsid w:val="00C850B4"/>
    <w:rsid w:val="00CA1DEE"/>
    <w:rsid w:val="00CD0D6D"/>
    <w:rsid w:val="00D30696"/>
    <w:rsid w:val="00DD5025"/>
    <w:rsid w:val="00DF5F54"/>
    <w:rsid w:val="00E91F13"/>
    <w:rsid w:val="00E92B2E"/>
    <w:rsid w:val="00EA0BE0"/>
    <w:rsid w:val="00EF6414"/>
    <w:rsid w:val="00F468A2"/>
    <w:rsid w:val="00FB5CF7"/>
  </w:rsids>
  <m:mathPr>
    <m:mathFont m:val="Cambria Math"/>
    <m:brkBin m:val="before"/>
    <m:brkBinSub m:val="--"/>
    <m:smallFrac m:val="0"/>
    <m:dispDef/>
    <m:lMargin m:val="0"/>
    <m:rMargin m:val="0"/>
    <m:defJc m:val="centerGroup"/>
    <m:wrapIndent m:val="1440"/>
    <m:intLim m:val="subSup"/>
    <m:naryLim m:val="undOvr"/>
  </m:mathPr>
  <w:themeFontLang w:val="fi-FI"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99F6"/>
  <w15:chartTrackingRefBased/>
  <w15:docId w15:val="{8244CF9B-9E1F-46EA-920D-E1550C98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3FE"/>
    <w:pPr>
      <w:ind w:left="720"/>
      <w:contextualSpacing/>
    </w:pPr>
  </w:style>
  <w:style w:type="character" w:styleId="HTMLCode">
    <w:name w:val="HTML Code"/>
    <w:basedOn w:val="DefaultParagraphFont"/>
    <w:uiPriority w:val="99"/>
    <w:semiHidden/>
    <w:unhideWhenUsed/>
    <w:rsid w:val="00CD0D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F6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7D6"/>
    <w:rPr>
      <w:rFonts w:ascii="Segoe UI" w:hAnsi="Segoe UI" w:cs="Segoe UI"/>
      <w:sz w:val="18"/>
      <w:szCs w:val="18"/>
    </w:rPr>
  </w:style>
  <w:style w:type="character" w:customStyle="1" w:styleId="Heading1Char">
    <w:name w:val="Heading 1 Char"/>
    <w:basedOn w:val="DefaultParagraphFont"/>
    <w:link w:val="Heading1"/>
    <w:uiPriority w:val="9"/>
    <w:rsid w:val="007F67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67D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semiHidden/>
    <w:unhideWhenUsed/>
    <w:rsid w:val="00DD5025"/>
  </w:style>
  <w:style w:type="character" w:styleId="Hyperlink">
    <w:name w:val="Hyperlink"/>
    <w:basedOn w:val="DefaultParagraphFont"/>
    <w:uiPriority w:val="99"/>
    <w:unhideWhenUsed/>
    <w:rsid w:val="00EA0BE0"/>
    <w:rPr>
      <w:color w:val="0000FF"/>
      <w:u w:val="single"/>
    </w:rPr>
  </w:style>
  <w:style w:type="character" w:styleId="UnresolvedMention">
    <w:name w:val="Unresolved Mention"/>
    <w:basedOn w:val="DefaultParagraphFont"/>
    <w:uiPriority w:val="99"/>
    <w:semiHidden/>
    <w:unhideWhenUsed/>
    <w:rsid w:val="00EA0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738715">
      <w:bodyDiv w:val="1"/>
      <w:marLeft w:val="0"/>
      <w:marRight w:val="0"/>
      <w:marTop w:val="0"/>
      <w:marBottom w:val="0"/>
      <w:divBdr>
        <w:top w:val="none" w:sz="0" w:space="0" w:color="auto"/>
        <w:left w:val="none" w:sz="0" w:space="0" w:color="auto"/>
        <w:bottom w:val="none" w:sz="0" w:space="0" w:color="auto"/>
        <w:right w:val="none" w:sz="0" w:space="0" w:color="auto"/>
      </w:divBdr>
    </w:div>
    <w:div w:id="618071188">
      <w:bodyDiv w:val="1"/>
      <w:marLeft w:val="0"/>
      <w:marRight w:val="0"/>
      <w:marTop w:val="0"/>
      <w:marBottom w:val="0"/>
      <w:divBdr>
        <w:top w:val="none" w:sz="0" w:space="0" w:color="auto"/>
        <w:left w:val="none" w:sz="0" w:space="0" w:color="auto"/>
        <w:bottom w:val="none" w:sz="0" w:space="0" w:color="auto"/>
        <w:right w:val="none" w:sz="0" w:space="0" w:color="auto"/>
      </w:divBdr>
    </w:div>
    <w:div w:id="745959396">
      <w:bodyDiv w:val="1"/>
      <w:marLeft w:val="0"/>
      <w:marRight w:val="0"/>
      <w:marTop w:val="0"/>
      <w:marBottom w:val="0"/>
      <w:divBdr>
        <w:top w:val="none" w:sz="0" w:space="0" w:color="auto"/>
        <w:left w:val="none" w:sz="0" w:space="0" w:color="auto"/>
        <w:bottom w:val="none" w:sz="0" w:space="0" w:color="auto"/>
        <w:right w:val="none" w:sz="0" w:space="0" w:color="auto"/>
      </w:divBdr>
    </w:div>
    <w:div w:id="1134905019">
      <w:bodyDiv w:val="1"/>
      <w:marLeft w:val="0"/>
      <w:marRight w:val="0"/>
      <w:marTop w:val="0"/>
      <w:marBottom w:val="0"/>
      <w:divBdr>
        <w:top w:val="none" w:sz="0" w:space="0" w:color="auto"/>
        <w:left w:val="none" w:sz="0" w:space="0" w:color="auto"/>
        <w:bottom w:val="none" w:sz="0" w:space="0" w:color="auto"/>
        <w:right w:val="none" w:sz="0" w:space="0" w:color="auto"/>
      </w:divBdr>
    </w:div>
    <w:div w:id="1165046469">
      <w:bodyDiv w:val="1"/>
      <w:marLeft w:val="0"/>
      <w:marRight w:val="0"/>
      <w:marTop w:val="0"/>
      <w:marBottom w:val="0"/>
      <w:divBdr>
        <w:top w:val="none" w:sz="0" w:space="0" w:color="auto"/>
        <w:left w:val="none" w:sz="0" w:space="0" w:color="auto"/>
        <w:bottom w:val="none" w:sz="0" w:space="0" w:color="auto"/>
        <w:right w:val="none" w:sz="0" w:space="0" w:color="auto"/>
      </w:divBdr>
    </w:div>
    <w:div w:id="1573854095">
      <w:bodyDiv w:val="1"/>
      <w:marLeft w:val="0"/>
      <w:marRight w:val="0"/>
      <w:marTop w:val="0"/>
      <w:marBottom w:val="0"/>
      <w:divBdr>
        <w:top w:val="none" w:sz="0" w:space="0" w:color="auto"/>
        <w:left w:val="none" w:sz="0" w:space="0" w:color="auto"/>
        <w:bottom w:val="none" w:sz="0" w:space="0" w:color="auto"/>
        <w:right w:val="none" w:sz="0" w:space="0" w:color="auto"/>
      </w:divBdr>
    </w:div>
    <w:div w:id="1713072477">
      <w:bodyDiv w:val="1"/>
      <w:marLeft w:val="0"/>
      <w:marRight w:val="0"/>
      <w:marTop w:val="0"/>
      <w:marBottom w:val="0"/>
      <w:divBdr>
        <w:top w:val="none" w:sz="0" w:space="0" w:color="auto"/>
        <w:left w:val="none" w:sz="0" w:space="0" w:color="auto"/>
        <w:bottom w:val="none" w:sz="0" w:space="0" w:color="auto"/>
        <w:right w:val="none" w:sz="0" w:space="0" w:color="auto"/>
      </w:divBdr>
    </w:div>
    <w:div w:id="1849175507">
      <w:bodyDiv w:val="1"/>
      <w:marLeft w:val="0"/>
      <w:marRight w:val="0"/>
      <w:marTop w:val="0"/>
      <w:marBottom w:val="0"/>
      <w:divBdr>
        <w:top w:val="none" w:sz="0" w:space="0" w:color="auto"/>
        <w:left w:val="none" w:sz="0" w:space="0" w:color="auto"/>
        <w:bottom w:val="none" w:sz="0" w:space="0" w:color="auto"/>
        <w:right w:val="none" w:sz="0" w:space="0" w:color="auto"/>
      </w:divBdr>
    </w:div>
    <w:div w:id="211728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vu-nl.idm.oclc.org/doi/full/10.1002/bdm.2122" TargetMode="External"/><Relationship Id="rId3" Type="http://schemas.openxmlformats.org/officeDocument/2006/relationships/settings" Target="settings.xml"/><Relationship Id="rId7" Type="http://schemas.openxmlformats.org/officeDocument/2006/relationships/hyperlink" Target="https://onlinelibrary-wiley-com.vu-nl.idm.oclc.org/doi/full/10.1002/bdm.21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vu-nl.idm.oclc.org/doi/full/10.1002/bdm.2122" TargetMode="External"/><Relationship Id="rId5" Type="http://schemas.openxmlformats.org/officeDocument/2006/relationships/hyperlink" Target="https://onlinelibrary-wiley-com.vu-nl.idm.oclc.org/doi/full/10.1002/bdm.212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2637</TotalTime>
  <Pages>3</Pages>
  <Words>4925</Words>
  <Characters>28075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Jarmo Jokela</dc:creator>
  <cp:keywords/>
  <dc:description/>
  <cp:lastModifiedBy>Jarmo Jokela</cp:lastModifiedBy>
  <cp:revision>23</cp:revision>
  <dcterms:created xsi:type="dcterms:W3CDTF">2020-10-14T20:26:00Z</dcterms:created>
  <dcterms:modified xsi:type="dcterms:W3CDTF">2020-11-07T16:43:00Z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id="ilyhywus"/&gt;&lt;style id="http://www.zotero.org/styles/apa" locale="en-US" hasBibliography="1" bibliographyStyleHasBeenSet="1"/&gt;&lt;prefs&gt;&lt;pref name="fieldType" value="Field"/&gt;&lt;/prefs&gt;&lt;/data&gt;</vt:lpwstr>
  </property>
</Properties>
</file>