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Bridge Chrome Extension Architecture Guide</w:t>
      </w:r>
    </w:p>
    <w:p>
      <w:pPr>
        <w:pStyle w:val="Subtitle"/>
      </w:pPr>
      <w:r>
        <w:t>Developer reference for MV3 folder boundaries, ownership rules, and future refactors</w:t>
      </w:r>
    </w:p>
    <w:tbl>
      <w:tblPr>
        <w:tblW w:type="dxa" w:w="9360"/>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c>
          <w:tcPr>
            <w:tcW w:type="dxa" w:w="9360"/>
            <w:vAlign w:val="center"/>
            <w:tcMar>
              <w:top w:w="80" w:type="dxa"/>
              <w:start w:w="120" w:type="dxa"/>
              <w:bottom w:w="80" w:type="dxa"/>
              <w:end w:w="120" w:type="dxa"/>
            </w:tcMar>
            <w:shd w:fill="F4F6F9"/>
          </w:tcPr>
          <w:p>
            <w:pPr>
              <w:spacing w:after="0"/>
            </w:pPr>
            <w:r>
              <w:rPr>
                <w:b/>
                <w:color w:val="1F4D78"/>
                <w:sz w:val="21"/>
              </w:rPr>
              <w:t xml:space="preserve">Architecture rule: </w:t>
            </w:r>
            <w:r>
              <w:rPr>
                <w:sz w:val="21"/>
              </w:rPr>
              <w:t>Organize by runtime boundary first, then by feature. Keep domain behavior independent from Chrome APIs, page DOM, provider transport, and backend runtime concerns.</w:t>
            </w:r>
          </w:p>
        </w:tc>
      </w:tr>
    </w:tbl>
    <w:p>
      <w:pPr>
        <w:spacing w:after="40"/>
      </w:pPr>
    </w:p>
    <w:p>
      <w:pPr>
        <w:pStyle w:val="Heading1"/>
        <w:keepNext/>
      </w:pPr>
      <w:r>
        <w:t>Purpose</w:t>
      </w:r>
    </w:p>
    <w:p>
      <w:r>
        <w:t>This guide explains how Bridge should be structured now that the extension and backend are built from TypeScript. It is intended for future developers changing Guided Task Mode without eroding the Guide-Only Assistance, privacy, or one-active-session boundaries defined in CONTEXT.md.</w:t>
      </w:r>
    </w:p>
    <w:p>
      <w:pPr>
        <w:pStyle w:val="Heading1"/>
        <w:keepNext/>
      </w:pPr>
      <w:r>
        <w:t>Source Tree</w:t>
      </w:r>
    </w:p>
    <w:tbl>
      <w:tblPr>
        <w:tblW w:type="dxa" w:w="9360"/>
        <w:tblLayout w:type="fixed"/>
        <w:tblLook w:firstColumn="1" w:firstRow="1" w:lastColumn="0" w:lastRow="0" w:noHBand="0" w:noVBand="1" w:val="04A0"/>
        <w:jc w:val="left"/>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500"/>
            <w:vAlign w:val="center"/>
            <w:tcMar>
              <w:top w:w="80" w:type="dxa"/>
              <w:start w:w="120" w:type="dxa"/>
              <w:bottom w:w="80" w:type="dxa"/>
              <w:end w:w="120" w:type="dxa"/>
            </w:tcMar>
            <w:shd w:fill="F2F4F7"/>
          </w:tcPr>
          <w:p>
            <w:pPr>
              <w:spacing w:after="0" w:line="276" w:lineRule="auto"/>
            </w:pPr>
            <w:r/>
            <w:r>
              <w:rPr>
                <w:rFonts w:ascii="Calibri" w:hAnsi="Calibri"/>
                <w:b/>
                <w:color w:val="1F4D78"/>
                <w:sz w:val="19"/>
              </w:rPr>
              <w:t>Folder</w:t>
            </w:r>
          </w:p>
        </w:tc>
        <w:tc>
          <w:tcPr>
            <w:tcW w:type="dxa" w:w="1900"/>
            <w:vAlign w:val="center"/>
            <w:tcMar>
              <w:top w:w="80" w:type="dxa"/>
              <w:start w:w="120" w:type="dxa"/>
              <w:bottom w:w="80" w:type="dxa"/>
              <w:end w:w="120" w:type="dxa"/>
            </w:tcMar>
            <w:shd w:fill="F2F4F7"/>
          </w:tcPr>
          <w:p>
            <w:pPr>
              <w:spacing w:after="0" w:line="276" w:lineRule="auto"/>
            </w:pPr>
            <w:r/>
            <w:r>
              <w:rPr>
                <w:rFonts w:ascii="Calibri" w:hAnsi="Calibri"/>
                <w:b/>
                <w:color w:val="1F4D78"/>
                <w:sz w:val="19"/>
              </w:rPr>
              <w:t>Owner</w:t>
            </w:r>
          </w:p>
        </w:tc>
        <w:tc>
          <w:tcPr>
            <w:tcW w:type="dxa" w:w="4960"/>
            <w:vAlign w:val="center"/>
            <w:tcMar>
              <w:top w:w="80" w:type="dxa"/>
              <w:start w:w="120" w:type="dxa"/>
              <w:bottom w:w="80" w:type="dxa"/>
              <w:end w:w="120" w:type="dxa"/>
            </w:tcMar>
            <w:shd w:fill="F2F4F7"/>
          </w:tcPr>
          <w:p>
            <w:pPr>
              <w:spacing w:after="0" w:line="276" w:lineRule="auto"/>
            </w:pPr>
            <w:r/>
            <w:r>
              <w:rPr>
                <w:rFonts w:ascii="Calibri" w:hAnsi="Calibri"/>
                <w:b/>
                <w:color w:val="1F4D78"/>
                <w:sz w:val="19"/>
              </w:rPr>
              <w:t>Primary responsibility</w:t>
            </w:r>
          </w:p>
        </w:tc>
      </w:tr>
      <w:tr>
        <w:tc>
          <w:tcPr>
            <w:tcW w:type="dxa" w:w="2500"/>
            <w:vAlign w:val="center"/>
            <w:tcMar>
              <w:top w:w="80" w:type="dxa"/>
              <w:start w:w="120" w:type="dxa"/>
              <w:bottom w:w="80" w:type="dxa"/>
              <w:end w:w="120" w:type="dxa"/>
            </w:tcMar>
          </w:tcPr>
          <w:p>
            <w:pPr>
              <w:spacing w:after="0" w:line="276" w:lineRule="auto"/>
            </w:pPr>
            <w:r/>
            <w:r>
              <w:rPr>
                <w:rFonts w:ascii="Calibri" w:hAnsi="Calibri"/>
                <w:b w:val="0"/>
                <w:color w:val="000000"/>
                <w:sz w:val="18"/>
              </w:rPr>
              <w:t>src/extension/service-worker/</w:t>
            </w:r>
          </w:p>
        </w:tc>
        <w:tc>
          <w:tcPr>
            <w:tcW w:type="dxa" w:w="1900"/>
            <w:vAlign w:val="center"/>
            <w:tcMar>
              <w:top w:w="80" w:type="dxa"/>
              <w:start w:w="120" w:type="dxa"/>
              <w:bottom w:w="80" w:type="dxa"/>
              <w:end w:w="120" w:type="dxa"/>
            </w:tcMar>
          </w:tcPr>
          <w:p>
            <w:pPr>
              <w:spacing w:after="0" w:line="276" w:lineRule="auto"/>
            </w:pPr>
            <w:r/>
            <w:r>
              <w:rPr>
                <w:rFonts w:ascii="Calibri" w:hAnsi="Calibri"/>
                <w:b w:val="0"/>
                <w:color w:val="000000"/>
                <w:sz w:val="18"/>
              </w:rPr>
              <w:t>MV3 service worker</w:t>
            </w:r>
          </w:p>
        </w:tc>
        <w:tc>
          <w:tcPr>
            <w:tcW w:type="dxa" w:w="4960"/>
            <w:vAlign w:val="center"/>
            <w:tcMar>
              <w:top w:w="80" w:type="dxa"/>
              <w:start w:w="120" w:type="dxa"/>
              <w:bottom w:w="80" w:type="dxa"/>
              <w:end w:w="120" w:type="dxa"/>
            </w:tcMar>
          </w:tcPr>
          <w:p>
            <w:pPr>
              <w:spacing w:after="0" w:line="276" w:lineRule="auto"/>
            </w:pPr>
            <w:r/>
            <w:r>
              <w:rPr>
                <w:rFonts w:ascii="Calibri" w:hAnsi="Calibri"/>
                <w:b w:val="0"/>
                <w:color w:val="000000"/>
                <w:sz w:val="18"/>
              </w:rPr>
              <w:t>Event registration, message routing, Guidance Session lifecycle, Plan Refresh, injection orchestration, dashboard broadcasts.</w:t>
            </w:r>
          </w:p>
        </w:tc>
      </w:tr>
      <w:tr>
        <w:tc>
          <w:tcPr>
            <w:tcW w:type="dxa" w:w="2500"/>
            <w:vAlign w:val="center"/>
            <w:tcMar>
              <w:top w:w="80" w:type="dxa"/>
              <w:start w:w="120" w:type="dxa"/>
              <w:bottom w:w="80" w:type="dxa"/>
              <w:end w:w="120" w:type="dxa"/>
            </w:tcMar>
          </w:tcPr>
          <w:p>
            <w:pPr>
              <w:spacing w:after="0" w:line="276" w:lineRule="auto"/>
            </w:pPr>
            <w:r/>
            <w:r>
              <w:rPr>
                <w:rFonts w:ascii="Calibri" w:hAnsi="Calibri"/>
                <w:b w:val="0"/>
                <w:color w:val="000000"/>
                <w:sz w:val="18"/>
              </w:rPr>
              <w:t>src/extension/sidepanel/</w:t>
            </w:r>
          </w:p>
        </w:tc>
        <w:tc>
          <w:tcPr>
            <w:tcW w:type="dxa" w:w="1900"/>
            <w:vAlign w:val="center"/>
            <w:tcMar>
              <w:top w:w="80" w:type="dxa"/>
              <w:start w:w="120" w:type="dxa"/>
              <w:bottom w:w="80" w:type="dxa"/>
              <w:end w:w="120" w:type="dxa"/>
            </w:tcMar>
          </w:tcPr>
          <w:p>
            <w:pPr>
              <w:spacing w:after="0" w:line="276" w:lineRule="auto"/>
            </w:pPr>
            <w:r/>
            <w:r>
              <w:rPr>
                <w:rFonts w:ascii="Calibri" w:hAnsi="Calibri"/>
                <w:b w:val="0"/>
                <w:color w:val="000000"/>
                <w:sz w:val="18"/>
              </w:rPr>
              <w:t>Extension UI page</w:t>
            </w:r>
          </w:p>
        </w:tc>
        <w:tc>
          <w:tcPr>
            <w:tcW w:type="dxa" w:w="4960"/>
            <w:vAlign w:val="center"/>
            <w:tcMar>
              <w:top w:w="80" w:type="dxa"/>
              <w:start w:w="120" w:type="dxa"/>
              <w:bottom w:w="80" w:type="dxa"/>
              <w:end w:w="120" w:type="dxa"/>
            </w:tcMar>
          </w:tcPr>
          <w:p>
            <w:pPr>
              <w:spacing w:after="0" w:line="276" w:lineRule="auto"/>
            </w:pPr>
            <w:r/>
            <w:r>
              <w:rPr>
                <w:rFonts w:ascii="Calibri" w:hAnsi="Calibri"/>
                <w:b w:val="0"/>
                <w:color w:val="000000"/>
                <w:sz w:val="18"/>
              </w:rPr>
              <w:t>Session Dashboard, provider settings, Task Request form, Task Clarification answers, auto-refresh toggle, Session End.</w:t>
            </w:r>
          </w:p>
        </w:tc>
      </w:tr>
      <w:tr>
        <w:tc>
          <w:tcPr>
            <w:tcW w:type="dxa" w:w="2500"/>
            <w:vAlign w:val="center"/>
            <w:tcMar>
              <w:top w:w="80" w:type="dxa"/>
              <w:start w:w="120" w:type="dxa"/>
              <w:bottom w:w="80" w:type="dxa"/>
              <w:end w:w="120" w:type="dxa"/>
            </w:tcMar>
          </w:tcPr>
          <w:p>
            <w:pPr>
              <w:spacing w:after="0" w:line="276" w:lineRule="auto"/>
            </w:pPr>
            <w:r/>
            <w:r>
              <w:rPr>
                <w:rFonts w:ascii="Calibri" w:hAnsi="Calibri"/>
                <w:b w:val="0"/>
                <w:color w:val="000000"/>
                <w:sz w:val="18"/>
              </w:rPr>
              <w:t>src/extension/content/</w:t>
            </w:r>
          </w:p>
        </w:tc>
        <w:tc>
          <w:tcPr>
            <w:tcW w:type="dxa" w:w="1900"/>
            <w:vAlign w:val="center"/>
            <w:tcMar>
              <w:top w:w="80" w:type="dxa"/>
              <w:start w:w="120" w:type="dxa"/>
              <w:bottom w:w="80" w:type="dxa"/>
              <w:end w:w="120" w:type="dxa"/>
            </w:tcMar>
          </w:tcPr>
          <w:p>
            <w:pPr>
              <w:spacing w:after="0" w:line="276" w:lineRule="auto"/>
            </w:pPr>
            <w:r/>
            <w:r>
              <w:rPr>
                <w:rFonts w:ascii="Calibri" w:hAnsi="Calibri"/>
                <w:b w:val="0"/>
                <w:color w:val="000000"/>
                <w:sz w:val="18"/>
              </w:rPr>
              <w:t>Original page runtime</w:t>
            </w:r>
          </w:p>
        </w:tc>
        <w:tc>
          <w:tcPr>
            <w:tcW w:type="dxa" w:w="4960"/>
            <w:vAlign w:val="center"/>
            <w:tcMar>
              <w:top w:w="80" w:type="dxa"/>
              <w:start w:w="120" w:type="dxa"/>
              <w:bottom w:w="80" w:type="dxa"/>
              <w:end w:w="120" w:type="dxa"/>
            </w:tcMar>
          </w:tcPr>
          <w:p>
            <w:pPr>
              <w:spacing w:after="0" w:line="276" w:lineRule="auto"/>
            </w:pPr>
            <w:r/>
            <w:r>
              <w:rPr>
                <w:rFonts w:ascii="Calibri" w:hAnsi="Calibri"/>
                <w:b w:val="0"/>
                <w:color w:val="000000"/>
                <w:sz w:val="18"/>
              </w:rPr>
              <w:t>Page Snapshot collection, Planning Payload reduction, overlay rendering, Page Target matching, Page State Change observation.</w:t>
            </w:r>
          </w:p>
        </w:tc>
      </w:tr>
      <w:tr>
        <w:tc>
          <w:tcPr>
            <w:tcW w:type="dxa" w:w="2500"/>
            <w:vAlign w:val="center"/>
            <w:tcMar>
              <w:top w:w="80" w:type="dxa"/>
              <w:start w:w="120" w:type="dxa"/>
              <w:bottom w:w="80" w:type="dxa"/>
              <w:end w:w="120" w:type="dxa"/>
            </w:tcMar>
          </w:tcPr>
          <w:p>
            <w:pPr>
              <w:spacing w:after="0" w:line="276" w:lineRule="auto"/>
            </w:pPr>
            <w:r/>
            <w:r>
              <w:rPr>
                <w:rFonts w:ascii="Calibri" w:hAnsi="Calibri"/>
                <w:b w:val="0"/>
                <w:color w:val="000000"/>
                <w:sz w:val="18"/>
              </w:rPr>
              <w:t>src/extension/platform/</w:t>
            </w:r>
          </w:p>
        </w:tc>
        <w:tc>
          <w:tcPr>
            <w:tcW w:type="dxa" w:w="1900"/>
            <w:vAlign w:val="center"/>
            <w:tcMar>
              <w:top w:w="80" w:type="dxa"/>
              <w:start w:w="120" w:type="dxa"/>
              <w:bottom w:w="80" w:type="dxa"/>
              <w:end w:w="120" w:type="dxa"/>
            </w:tcMar>
          </w:tcPr>
          <w:p>
            <w:pPr>
              <w:spacing w:after="0" w:line="276" w:lineRule="auto"/>
            </w:pPr>
            <w:r/>
            <w:r>
              <w:rPr>
                <w:rFonts w:ascii="Calibri" w:hAnsi="Calibri"/>
                <w:b w:val="0"/>
                <w:color w:val="000000"/>
                <w:sz w:val="18"/>
              </w:rPr>
              <w:t>Chrome API wrapper boundary</w:t>
            </w:r>
          </w:p>
        </w:tc>
        <w:tc>
          <w:tcPr>
            <w:tcW w:type="dxa" w:w="4960"/>
            <w:vAlign w:val="center"/>
            <w:tcMar>
              <w:top w:w="80" w:type="dxa"/>
              <w:start w:w="120" w:type="dxa"/>
              <w:bottom w:w="80" w:type="dxa"/>
              <w:end w:w="120" w:type="dxa"/>
            </w:tcMar>
          </w:tcPr>
          <w:p>
            <w:pPr>
              <w:spacing w:after="0" w:line="276" w:lineRule="auto"/>
            </w:pPr>
            <w:r/>
            <w:r>
              <w:rPr>
                <w:rFonts w:ascii="Calibri" w:hAnsi="Calibri"/>
                <w:b w:val="0"/>
                <w:color w:val="000000"/>
                <w:sz w:val="18"/>
              </w:rPr>
              <w:t>Small testable wrappers for runtime, tabs, storage, scripting, and side panel APIs.</w:t>
            </w:r>
          </w:p>
        </w:tc>
      </w:tr>
      <w:tr>
        <w:tc>
          <w:tcPr>
            <w:tcW w:type="dxa" w:w="2500"/>
            <w:vAlign w:val="center"/>
            <w:tcMar>
              <w:top w:w="80" w:type="dxa"/>
              <w:start w:w="120" w:type="dxa"/>
              <w:bottom w:w="80" w:type="dxa"/>
              <w:end w:w="120" w:type="dxa"/>
            </w:tcMar>
          </w:tcPr>
          <w:p>
            <w:pPr>
              <w:spacing w:after="0" w:line="276" w:lineRule="auto"/>
            </w:pPr>
            <w:r/>
            <w:r>
              <w:rPr>
                <w:rFonts w:ascii="Calibri" w:hAnsi="Calibri"/>
                <w:b w:val="0"/>
                <w:color w:val="000000"/>
                <w:sz w:val="18"/>
              </w:rPr>
              <w:t>src/domain/</w:t>
            </w:r>
          </w:p>
        </w:tc>
        <w:tc>
          <w:tcPr>
            <w:tcW w:type="dxa" w:w="1900"/>
            <w:vAlign w:val="center"/>
            <w:tcMar>
              <w:top w:w="80" w:type="dxa"/>
              <w:start w:w="120" w:type="dxa"/>
              <w:bottom w:w="80" w:type="dxa"/>
              <w:end w:w="120" w:type="dxa"/>
            </w:tcMar>
          </w:tcPr>
          <w:p>
            <w:pPr>
              <w:spacing w:after="0" w:line="276" w:lineRule="auto"/>
            </w:pPr>
            <w:r/>
            <w:r>
              <w:rPr>
                <w:rFonts w:ascii="Calibri" w:hAnsi="Calibri"/>
                <w:b w:val="0"/>
                <w:color w:val="000000"/>
                <w:sz w:val="18"/>
              </w:rPr>
              <w:t>Chrome-independent domain behavior</w:t>
            </w:r>
          </w:p>
        </w:tc>
        <w:tc>
          <w:tcPr>
            <w:tcW w:type="dxa" w:w="4960"/>
            <w:vAlign w:val="center"/>
            <w:tcMar>
              <w:top w:w="80" w:type="dxa"/>
              <w:start w:w="120" w:type="dxa"/>
              <w:bottom w:w="80" w:type="dxa"/>
              <w:end w:w="120" w:type="dxa"/>
            </w:tcMar>
          </w:tcPr>
          <w:p>
            <w:pPr>
              <w:spacing w:after="0" w:line="276" w:lineRule="auto"/>
            </w:pPr>
            <w:r/>
            <w:r>
              <w:rPr>
                <w:rFonts w:ascii="Calibri" w:hAnsi="Calibri"/>
                <w:b w:val="0"/>
                <w:color w:val="000000"/>
                <w:sz w:val="18"/>
              </w:rPr>
              <w:t>Plan Contract validation, privacy checks, plan modes, step caps, and eventually Completed Step History rules.</w:t>
            </w:r>
          </w:p>
        </w:tc>
      </w:tr>
      <w:tr>
        <w:tc>
          <w:tcPr>
            <w:tcW w:type="dxa" w:w="2500"/>
            <w:vAlign w:val="center"/>
            <w:tcMar>
              <w:top w:w="80" w:type="dxa"/>
              <w:start w:w="120" w:type="dxa"/>
              <w:bottom w:w="80" w:type="dxa"/>
              <w:end w:w="120" w:type="dxa"/>
            </w:tcMar>
          </w:tcPr>
          <w:p>
            <w:pPr>
              <w:spacing w:after="0" w:line="276" w:lineRule="auto"/>
            </w:pPr>
            <w:r/>
            <w:r>
              <w:rPr>
                <w:rFonts w:ascii="Calibri" w:hAnsi="Calibri"/>
                <w:b w:val="0"/>
                <w:color w:val="000000"/>
                <w:sz w:val="18"/>
              </w:rPr>
              <w:t>src/providers/</w:t>
            </w:r>
          </w:p>
        </w:tc>
        <w:tc>
          <w:tcPr>
            <w:tcW w:type="dxa" w:w="1900"/>
            <w:vAlign w:val="center"/>
            <w:tcMar>
              <w:top w:w="80" w:type="dxa"/>
              <w:start w:w="120" w:type="dxa"/>
              <w:bottom w:w="80" w:type="dxa"/>
              <w:end w:w="120" w:type="dxa"/>
            </w:tcMar>
          </w:tcPr>
          <w:p>
            <w:pPr>
              <w:spacing w:after="0" w:line="276" w:lineRule="auto"/>
            </w:pPr>
            <w:r/>
            <w:r>
              <w:rPr>
                <w:rFonts w:ascii="Calibri" w:hAnsi="Calibri"/>
                <w:b w:val="0"/>
                <w:color w:val="000000"/>
                <w:sz w:val="18"/>
              </w:rPr>
              <w:t>Plan-creation adapters</w:t>
            </w:r>
          </w:p>
        </w:tc>
        <w:tc>
          <w:tcPr>
            <w:tcW w:type="dxa" w:w="4960"/>
            <w:vAlign w:val="center"/>
            <w:tcMar>
              <w:top w:w="80" w:type="dxa"/>
              <w:start w:w="120" w:type="dxa"/>
              <w:bottom w:w="80" w:type="dxa"/>
              <w:end w:w="120" w:type="dxa"/>
            </w:tcMar>
          </w:tcPr>
          <w:p>
            <w:pPr>
              <w:spacing w:after="0" w:line="276" w:lineRule="auto"/>
            </w:pPr>
            <w:r/>
            <w:r>
              <w:rPr>
                <w:rFonts w:ascii="Calibri" w:hAnsi="Calibri"/>
                <w:b w:val="0"/>
                <w:color w:val="000000"/>
                <w:sz w:val="18"/>
              </w:rPr>
              <w:t>Backend Proxy, Gemini Demo, and OpenAI Demo request/response differences behind one interface.</w:t>
            </w:r>
          </w:p>
        </w:tc>
      </w:tr>
      <w:tr>
        <w:tc>
          <w:tcPr>
            <w:tcW w:type="dxa" w:w="2500"/>
            <w:vAlign w:val="center"/>
            <w:tcMar>
              <w:top w:w="80" w:type="dxa"/>
              <w:start w:w="120" w:type="dxa"/>
              <w:bottom w:w="80" w:type="dxa"/>
              <w:end w:w="120" w:type="dxa"/>
            </w:tcMar>
          </w:tcPr>
          <w:p>
            <w:pPr>
              <w:spacing w:after="0" w:line="276" w:lineRule="auto"/>
            </w:pPr>
            <w:r/>
            <w:r>
              <w:rPr>
                <w:rFonts w:ascii="Calibri" w:hAnsi="Calibri"/>
                <w:b w:val="0"/>
                <w:color w:val="000000"/>
                <w:sz w:val="18"/>
              </w:rPr>
              <w:t>src/shared/</w:t>
            </w:r>
          </w:p>
        </w:tc>
        <w:tc>
          <w:tcPr>
            <w:tcW w:type="dxa" w:w="1900"/>
            <w:vAlign w:val="center"/>
            <w:tcMar>
              <w:top w:w="80" w:type="dxa"/>
              <w:start w:w="120" w:type="dxa"/>
              <w:bottom w:w="80" w:type="dxa"/>
              <w:end w:w="120" w:type="dxa"/>
            </w:tcMar>
          </w:tcPr>
          <w:p>
            <w:pPr>
              <w:spacing w:after="0" w:line="276" w:lineRule="auto"/>
            </w:pPr>
            <w:r/>
            <w:r>
              <w:rPr>
                <w:rFonts w:ascii="Calibri" w:hAnsi="Calibri"/>
                <w:b w:val="0"/>
                <w:color w:val="000000"/>
                <w:sz w:val="18"/>
              </w:rPr>
              <w:t>Cross-runtime constants</w:t>
            </w:r>
          </w:p>
        </w:tc>
        <w:tc>
          <w:tcPr>
            <w:tcW w:type="dxa" w:w="4960"/>
            <w:vAlign w:val="center"/>
            <w:tcMar>
              <w:top w:w="80" w:type="dxa"/>
              <w:start w:w="120" w:type="dxa"/>
              <w:bottom w:w="80" w:type="dxa"/>
              <w:end w:w="120" w:type="dxa"/>
            </w:tcMar>
          </w:tcPr>
          <w:p>
            <w:pPr>
              <w:spacing w:after="0" w:line="276" w:lineRule="auto"/>
            </w:pPr>
            <w:r/>
            <w:r>
              <w:rPr>
                <w:rFonts w:ascii="Calibri" w:hAnsi="Calibri"/>
                <w:b w:val="0"/>
                <w:color w:val="000000"/>
                <w:sz w:val="18"/>
              </w:rPr>
              <w:t>Message names, storage keys, and tiny shared constants only.</w:t>
            </w:r>
          </w:p>
        </w:tc>
      </w:tr>
      <w:tr>
        <w:tc>
          <w:tcPr>
            <w:tcW w:type="dxa" w:w="2500"/>
            <w:vAlign w:val="center"/>
            <w:tcMar>
              <w:top w:w="80" w:type="dxa"/>
              <w:start w:w="120" w:type="dxa"/>
              <w:bottom w:w="80" w:type="dxa"/>
              <w:end w:w="120" w:type="dxa"/>
            </w:tcMar>
          </w:tcPr>
          <w:p>
            <w:pPr>
              <w:spacing w:after="0" w:line="276" w:lineRule="auto"/>
            </w:pPr>
            <w:r/>
            <w:r>
              <w:rPr>
                <w:rFonts w:ascii="Calibri" w:hAnsi="Calibri"/>
                <w:b w:val="0"/>
                <w:color w:val="000000"/>
                <w:sz w:val="18"/>
              </w:rPr>
              <w:t>src/backend/</w:t>
            </w:r>
          </w:p>
        </w:tc>
        <w:tc>
          <w:tcPr>
            <w:tcW w:type="dxa" w:w="1900"/>
            <w:vAlign w:val="center"/>
            <w:tcMar>
              <w:top w:w="80" w:type="dxa"/>
              <w:start w:w="120" w:type="dxa"/>
              <w:bottom w:w="80" w:type="dxa"/>
              <w:end w:w="120" w:type="dxa"/>
            </w:tcMar>
          </w:tcPr>
          <w:p>
            <w:pPr>
              <w:spacing w:after="0" w:line="276" w:lineRule="auto"/>
            </w:pPr>
            <w:r/>
            <w:r>
              <w:rPr>
                <w:rFonts w:ascii="Calibri" w:hAnsi="Calibri"/>
                <w:b w:val="0"/>
                <w:color w:val="000000"/>
                <w:sz w:val="18"/>
              </w:rPr>
              <w:t>Node backend proxy</w:t>
            </w:r>
          </w:p>
        </w:tc>
        <w:tc>
          <w:tcPr>
            <w:tcW w:type="dxa" w:w="4960"/>
            <w:vAlign w:val="center"/>
            <w:tcMar>
              <w:top w:w="80" w:type="dxa"/>
              <w:start w:w="120" w:type="dxa"/>
              <w:bottom w:w="80" w:type="dxa"/>
              <w:end w:w="120" w:type="dxa"/>
            </w:tcMar>
          </w:tcPr>
          <w:p>
            <w:pPr>
              <w:spacing w:after="0" w:line="276" w:lineRule="auto"/>
            </w:pPr>
            <w:r/>
            <w:r>
              <w:rPr>
                <w:rFonts w:ascii="Calibri" w:hAnsi="Calibri"/>
                <w:b w:val="0"/>
                <w:color w:val="000000"/>
                <w:sz w:val="18"/>
              </w:rPr>
              <w:t>Local Codex backend provider, CORS, request validation, metadata-only logging, and stable /guidance-plan contract.</w:t>
            </w:r>
          </w:p>
        </w:tc>
      </w:tr>
    </w:tbl>
    <w:p>
      <w:pPr>
        <w:spacing w:after="80"/>
      </w:pPr>
    </w:p>
    <w:p>
      <w:pPr>
        <w:pStyle w:val="Heading1"/>
        <w:keepNext/>
      </w:pPr>
      <w:r>
        <w:t>Runtime Boundary Rules</w:t>
      </w:r>
    </w:p>
    <w:p>
      <w:pPr>
        <w:pStyle w:val="Heading2"/>
        <w:keepNext/>
      </w:pPr>
      <w:r>
        <w:t>Service Worker</w:t>
      </w:r>
    </w:p>
    <w:p>
      <w:pPr>
        <w:pStyle w:val="ListBullet"/>
        <w:spacing w:after="80" w:line="276" w:lineRule="auto"/>
        <w:ind w:left="720" w:hanging="360"/>
      </w:pPr>
      <w:r>
        <w:t>The service worker is the extension coordinator and must stay event-driven because MV3 workers can be unloaded when dormant.</w:t>
      </w:r>
    </w:p>
    <w:p>
      <w:pPr>
        <w:pStyle w:val="ListBullet"/>
        <w:spacing w:after="80" w:line="276" w:lineRule="auto"/>
        <w:ind w:left="720" w:hanging="360"/>
      </w:pPr>
      <w:r>
        <w:t>It must not rely on long-lived globals for Guidance Session state; persist Session State and Guide Activity through storage.</w:t>
      </w:r>
    </w:p>
    <w:p>
      <w:pPr>
        <w:pStyle w:val="ListBullet"/>
        <w:spacing w:after="80" w:line="276" w:lineRule="auto"/>
        <w:ind w:left="720" w:hanging="360"/>
      </w:pPr>
      <w:r>
        <w:t>It cannot access the page DOM directly; treat chrome.scripting.executeScript as the page-runtime boundary.</w:t>
      </w:r>
    </w:p>
    <w:p>
      <w:pPr>
        <w:pStyle w:val="Heading2"/>
        <w:keepNext/>
      </w:pPr>
      <w:r>
        <w:t>Side Panel</w:t>
      </w:r>
    </w:p>
    <w:p>
      <w:pPr>
        <w:pStyle w:val="ListBullet"/>
        <w:spacing w:after="80" w:line="276" w:lineRule="auto"/>
        <w:ind w:left="720" w:hanging="360"/>
      </w:pPr>
      <w:r>
        <w:t>The side panel renders user-visible session state and sends commands to the service worker.</w:t>
      </w:r>
    </w:p>
    <w:p>
      <w:pPr>
        <w:pStyle w:val="ListBullet"/>
        <w:spacing w:after="80" w:line="276" w:lineRule="auto"/>
        <w:ind w:left="720" w:hanging="360"/>
      </w:pPr>
      <w:r>
        <w:t>It should not decide Guidance Session lifecycle rules or duplicate Plan Refresh behavior.</w:t>
      </w:r>
    </w:p>
    <w:p>
      <w:pPr>
        <w:pStyle w:val="ListBullet"/>
        <w:spacing w:after="80" w:line="276" w:lineRule="auto"/>
        <w:ind w:left="720" w:hanging="360"/>
      </w:pPr>
      <w:r>
        <w:t>It may collect local demo settings, but real provider secrets should stay behind the backend proxy for release work.</w:t>
      </w:r>
    </w:p>
    <w:p>
      <w:pPr>
        <w:pStyle w:val="Heading2"/>
        <w:keepNext/>
      </w:pPr>
      <w:r>
        <w:t>Content Runtime</w:t>
      </w:r>
    </w:p>
    <w:p>
      <w:pPr>
        <w:pStyle w:val="ListBullet"/>
        <w:spacing w:after="80" w:line="276" w:lineRule="auto"/>
        <w:ind w:left="720" w:hanging="360"/>
      </w:pPr>
      <w:r>
        <w:t>Content/page-runtime code may inspect, highlight, scroll, explain, and observe progress on the original page.</w:t>
      </w:r>
    </w:p>
    <w:p>
      <w:pPr>
        <w:pStyle w:val="ListBullet"/>
        <w:spacing w:after="80" w:line="276" w:lineRule="auto"/>
        <w:ind w:left="720" w:hanging="360"/>
      </w:pPr>
      <w:r>
        <w:t>It must not click, type, submit, purchase, delete, confirm, or otherwise perform page actions for the user.</w:t>
      </w:r>
    </w:p>
    <w:p>
      <w:pPr>
        <w:pStyle w:val="ListBullet"/>
        <w:spacing w:after="80" w:line="276" w:lineRule="auto"/>
        <w:ind w:left="720" w:hanging="360"/>
      </w:pPr>
      <w:r>
        <w:t>It must not include user-entered form values in Page Snapshots or Planning Payloads.</w:t>
      </w:r>
    </w:p>
    <w:p>
      <w:pPr>
        <w:pStyle w:val="Heading2"/>
        <w:keepNext/>
      </w:pPr>
      <w:r>
        <w:t>Domain And Providers</w:t>
      </w:r>
    </w:p>
    <w:p>
      <w:pPr>
        <w:pStyle w:val="ListBullet"/>
        <w:spacing w:after="80" w:line="276" w:lineRule="auto"/>
        <w:ind w:left="720" w:hanging="360"/>
      </w:pPr>
      <w:r>
        <w:t>Domain modules should have no chrome.*, DOM, network, or backend environment dependencies.</w:t>
      </w:r>
    </w:p>
    <w:p>
      <w:pPr>
        <w:pStyle w:val="ListBullet"/>
        <w:spacing w:after="80" w:line="276" w:lineRule="auto"/>
        <w:ind w:left="720" w:hanging="360"/>
      </w:pPr>
      <w:r>
        <w:t>Provider modules return Plan Contract JSON and do not own session lifecycle, page extraction, or overlay rendering.</w:t>
      </w:r>
    </w:p>
    <w:p>
      <w:pPr>
        <w:pStyle w:val="ListBullet"/>
        <w:spacing w:after="80" w:line="276" w:lineRule="auto"/>
        <w:ind w:left="720" w:hanging="360"/>
      </w:pPr>
      <w:r>
        <w:t>Shared modules should stay small; put behavior in domain modules rather than shared catch-all files.</w:t>
      </w:r>
    </w:p>
    <w:p>
      <w:pPr>
        <w:pStyle w:val="Heading1"/>
        <w:keepNext/>
      </w:pPr>
      <w:r>
        <w:t>Allowed Dependency Direction</w:t>
      </w:r>
    </w:p>
    <w:tbl>
      <w:tblPr>
        <w:tblW w:type="dxa" w:w="9360"/>
        <w:tblLayout w:type="fixed"/>
        <w:tblLook w:firstColumn="1" w:firstRow="1" w:lastColumn="0" w:lastRow="0" w:noHBand="0" w:noVBand="1" w:val="04A0"/>
        <w:jc w:val="left"/>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3100"/>
            <w:vAlign w:val="center"/>
            <w:tcMar>
              <w:top w:w="80" w:type="dxa"/>
              <w:start w:w="120" w:type="dxa"/>
              <w:bottom w:w="80" w:type="dxa"/>
              <w:end w:w="120" w:type="dxa"/>
            </w:tcMar>
            <w:shd w:fill="F2F4F7"/>
          </w:tcPr>
          <w:p>
            <w:pPr>
              <w:spacing w:after="0" w:line="276" w:lineRule="auto"/>
            </w:pPr>
            <w:r/>
            <w:r>
              <w:rPr>
                <w:rFonts w:ascii="Calibri" w:hAnsi="Calibri"/>
                <w:b/>
                <w:color w:val="1F4D78"/>
                <w:sz w:val="19"/>
              </w:rPr>
              <w:t>From</w:t>
            </w:r>
          </w:p>
        </w:tc>
        <w:tc>
          <w:tcPr>
            <w:tcW w:type="dxa" w:w="6260"/>
            <w:vAlign w:val="center"/>
            <w:tcMar>
              <w:top w:w="80" w:type="dxa"/>
              <w:start w:w="120" w:type="dxa"/>
              <w:bottom w:w="80" w:type="dxa"/>
              <w:end w:w="120" w:type="dxa"/>
            </w:tcMar>
            <w:shd w:fill="F2F4F7"/>
          </w:tcPr>
          <w:p>
            <w:pPr>
              <w:spacing w:after="0" w:line="276" w:lineRule="auto"/>
            </w:pPr>
            <w:r/>
            <w:r>
              <w:rPr>
                <w:rFonts w:ascii="Calibri" w:hAnsi="Calibri"/>
                <w:b/>
                <w:color w:val="1F4D78"/>
                <w:sz w:val="19"/>
              </w:rPr>
              <w:t>May depend on</w:t>
            </w:r>
          </w:p>
        </w:tc>
      </w:tr>
      <w:tr>
        <w:tc>
          <w:tcPr>
            <w:tcW w:type="dxa" w:w="3100"/>
            <w:vAlign w:val="center"/>
            <w:tcMar>
              <w:top w:w="80" w:type="dxa"/>
              <w:start w:w="120" w:type="dxa"/>
              <w:bottom w:w="80" w:type="dxa"/>
              <w:end w:w="120" w:type="dxa"/>
            </w:tcMar>
          </w:tcPr>
          <w:p>
            <w:pPr>
              <w:spacing w:after="0" w:line="276" w:lineRule="auto"/>
            </w:pPr>
            <w:r/>
            <w:r>
              <w:rPr>
                <w:rFonts w:ascii="Calibri" w:hAnsi="Calibri"/>
                <w:b w:val="0"/>
                <w:color w:val="000000"/>
                <w:sz w:val="18"/>
              </w:rPr>
              <w:t>extension/service-worker</w:t>
            </w:r>
          </w:p>
        </w:tc>
        <w:tc>
          <w:tcPr>
            <w:tcW w:type="dxa" w:w="6260"/>
            <w:vAlign w:val="center"/>
            <w:tcMar>
              <w:top w:w="80" w:type="dxa"/>
              <w:start w:w="120" w:type="dxa"/>
              <w:bottom w:w="80" w:type="dxa"/>
              <w:end w:w="120" w:type="dxa"/>
            </w:tcMar>
          </w:tcPr>
          <w:p>
            <w:pPr>
              <w:spacing w:after="0" w:line="276" w:lineRule="auto"/>
            </w:pPr>
            <w:r/>
            <w:r>
              <w:rPr>
                <w:rFonts w:ascii="Calibri" w:hAnsi="Calibri"/>
                <w:b w:val="0"/>
                <w:color w:val="000000"/>
                <w:sz w:val="18"/>
              </w:rPr>
              <w:t>extension/platform, domain, providers, shared</w:t>
            </w:r>
          </w:p>
        </w:tc>
      </w:tr>
      <w:tr>
        <w:tc>
          <w:tcPr>
            <w:tcW w:type="dxa" w:w="3100"/>
            <w:vAlign w:val="center"/>
            <w:tcMar>
              <w:top w:w="80" w:type="dxa"/>
              <w:start w:w="120" w:type="dxa"/>
              <w:bottom w:w="80" w:type="dxa"/>
              <w:end w:w="120" w:type="dxa"/>
            </w:tcMar>
          </w:tcPr>
          <w:p>
            <w:pPr>
              <w:spacing w:after="0" w:line="276" w:lineRule="auto"/>
            </w:pPr>
            <w:r/>
            <w:r>
              <w:rPr>
                <w:rFonts w:ascii="Calibri" w:hAnsi="Calibri"/>
                <w:b w:val="0"/>
                <w:color w:val="000000"/>
                <w:sz w:val="18"/>
              </w:rPr>
              <w:t>extension/sidepanel</w:t>
            </w:r>
          </w:p>
        </w:tc>
        <w:tc>
          <w:tcPr>
            <w:tcW w:type="dxa" w:w="6260"/>
            <w:vAlign w:val="center"/>
            <w:tcMar>
              <w:top w:w="80" w:type="dxa"/>
              <w:start w:w="120" w:type="dxa"/>
              <w:bottom w:w="80" w:type="dxa"/>
              <w:end w:w="120" w:type="dxa"/>
            </w:tcMar>
          </w:tcPr>
          <w:p>
            <w:pPr>
              <w:spacing w:after="0" w:line="276" w:lineRule="auto"/>
            </w:pPr>
            <w:r/>
            <w:r>
              <w:rPr>
                <w:rFonts w:ascii="Calibri" w:hAnsi="Calibri"/>
                <w:b w:val="0"/>
                <w:color w:val="000000"/>
                <w:sz w:val="18"/>
              </w:rPr>
              <w:t>shared and side-panel-local view helpers</w:t>
            </w:r>
          </w:p>
        </w:tc>
      </w:tr>
      <w:tr>
        <w:tc>
          <w:tcPr>
            <w:tcW w:type="dxa" w:w="3100"/>
            <w:vAlign w:val="center"/>
            <w:tcMar>
              <w:top w:w="80" w:type="dxa"/>
              <w:start w:w="120" w:type="dxa"/>
              <w:bottom w:w="80" w:type="dxa"/>
              <w:end w:w="120" w:type="dxa"/>
            </w:tcMar>
          </w:tcPr>
          <w:p>
            <w:pPr>
              <w:spacing w:after="0" w:line="276" w:lineRule="auto"/>
            </w:pPr>
            <w:r/>
            <w:r>
              <w:rPr>
                <w:rFonts w:ascii="Calibri" w:hAnsi="Calibri"/>
                <w:b w:val="0"/>
                <w:color w:val="000000"/>
                <w:sz w:val="18"/>
              </w:rPr>
              <w:t>extension/content</w:t>
            </w:r>
          </w:p>
        </w:tc>
        <w:tc>
          <w:tcPr>
            <w:tcW w:type="dxa" w:w="6260"/>
            <w:vAlign w:val="center"/>
            <w:tcMar>
              <w:top w:w="80" w:type="dxa"/>
              <w:start w:w="120" w:type="dxa"/>
              <w:bottom w:w="80" w:type="dxa"/>
              <w:end w:w="120" w:type="dxa"/>
            </w:tcMar>
          </w:tcPr>
          <w:p>
            <w:pPr>
              <w:spacing w:after="0" w:line="276" w:lineRule="auto"/>
            </w:pPr>
            <w:r/>
            <w:r>
              <w:rPr>
                <w:rFonts w:ascii="Calibri" w:hAnsi="Calibri"/>
                <w:b w:val="0"/>
                <w:color w:val="000000"/>
                <w:sz w:val="18"/>
              </w:rPr>
              <w:t>domain and shared</w:t>
            </w:r>
          </w:p>
        </w:tc>
      </w:tr>
      <w:tr>
        <w:tc>
          <w:tcPr>
            <w:tcW w:type="dxa" w:w="3100"/>
            <w:vAlign w:val="center"/>
            <w:tcMar>
              <w:top w:w="80" w:type="dxa"/>
              <w:start w:w="120" w:type="dxa"/>
              <w:bottom w:w="80" w:type="dxa"/>
              <w:end w:w="120" w:type="dxa"/>
            </w:tcMar>
          </w:tcPr>
          <w:p>
            <w:pPr>
              <w:spacing w:after="0" w:line="276" w:lineRule="auto"/>
            </w:pPr>
            <w:r/>
            <w:r>
              <w:rPr>
                <w:rFonts w:ascii="Calibri" w:hAnsi="Calibri"/>
                <w:b w:val="0"/>
                <w:color w:val="000000"/>
                <w:sz w:val="18"/>
              </w:rPr>
              <w:t>providers</w:t>
            </w:r>
          </w:p>
        </w:tc>
        <w:tc>
          <w:tcPr>
            <w:tcW w:type="dxa" w:w="6260"/>
            <w:vAlign w:val="center"/>
            <w:tcMar>
              <w:top w:w="80" w:type="dxa"/>
              <w:start w:w="120" w:type="dxa"/>
              <w:bottom w:w="80" w:type="dxa"/>
              <w:end w:w="120" w:type="dxa"/>
            </w:tcMar>
          </w:tcPr>
          <w:p>
            <w:pPr>
              <w:spacing w:after="0" w:line="276" w:lineRule="auto"/>
            </w:pPr>
            <w:r/>
            <w:r>
              <w:rPr>
                <w:rFonts w:ascii="Calibri" w:hAnsi="Calibri"/>
                <w:b w:val="0"/>
                <w:color w:val="000000"/>
                <w:sz w:val="18"/>
              </w:rPr>
              <w:t>domain and shared</w:t>
            </w:r>
          </w:p>
        </w:tc>
      </w:tr>
      <w:tr>
        <w:tc>
          <w:tcPr>
            <w:tcW w:type="dxa" w:w="3100"/>
            <w:vAlign w:val="center"/>
            <w:tcMar>
              <w:top w:w="80" w:type="dxa"/>
              <w:start w:w="120" w:type="dxa"/>
              <w:bottom w:w="80" w:type="dxa"/>
              <w:end w:w="120" w:type="dxa"/>
            </w:tcMar>
          </w:tcPr>
          <w:p>
            <w:pPr>
              <w:spacing w:after="0" w:line="276" w:lineRule="auto"/>
            </w:pPr>
            <w:r/>
            <w:r>
              <w:rPr>
                <w:rFonts w:ascii="Calibri" w:hAnsi="Calibri"/>
                <w:b w:val="0"/>
                <w:color w:val="000000"/>
                <w:sz w:val="18"/>
              </w:rPr>
              <w:t>backend</w:t>
            </w:r>
          </w:p>
        </w:tc>
        <w:tc>
          <w:tcPr>
            <w:tcW w:type="dxa" w:w="6260"/>
            <w:vAlign w:val="center"/>
            <w:tcMar>
              <w:top w:w="80" w:type="dxa"/>
              <w:start w:w="120" w:type="dxa"/>
              <w:bottom w:w="80" w:type="dxa"/>
              <w:end w:w="120" w:type="dxa"/>
            </w:tcMar>
          </w:tcPr>
          <w:p>
            <w:pPr>
              <w:spacing w:after="0" w:line="276" w:lineRule="auto"/>
            </w:pPr>
            <w:r/>
            <w:r>
              <w:rPr>
                <w:rFonts w:ascii="Calibri" w:hAnsi="Calibri"/>
                <w:b w:val="0"/>
                <w:color w:val="000000"/>
                <w:sz w:val="18"/>
              </w:rPr>
              <w:t>domain and shared</w:t>
            </w:r>
          </w:p>
        </w:tc>
      </w:tr>
      <w:tr>
        <w:tc>
          <w:tcPr>
            <w:tcW w:type="dxa" w:w="3100"/>
            <w:vAlign w:val="center"/>
            <w:tcMar>
              <w:top w:w="80" w:type="dxa"/>
              <w:start w:w="120" w:type="dxa"/>
              <w:bottom w:w="80" w:type="dxa"/>
              <w:end w:w="120" w:type="dxa"/>
            </w:tcMar>
          </w:tcPr>
          <w:p>
            <w:pPr>
              <w:spacing w:after="0" w:line="276" w:lineRule="auto"/>
            </w:pPr>
            <w:r/>
            <w:r>
              <w:rPr>
                <w:rFonts w:ascii="Calibri" w:hAnsi="Calibri"/>
                <w:b w:val="0"/>
                <w:color w:val="000000"/>
                <w:sz w:val="18"/>
              </w:rPr>
              <w:t>domain</w:t>
            </w:r>
          </w:p>
        </w:tc>
        <w:tc>
          <w:tcPr>
            <w:tcW w:type="dxa" w:w="6260"/>
            <w:vAlign w:val="center"/>
            <w:tcMar>
              <w:top w:w="80" w:type="dxa"/>
              <w:start w:w="120" w:type="dxa"/>
              <w:bottom w:w="80" w:type="dxa"/>
              <w:end w:w="120" w:type="dxa"/>
            </w:tcMar>
          </w:tcPr>
          <w:p>
            <w:pPr>
              <w:spacing w:after="0" w:line="276" w:lineRule="auto"/>
            </w:pPr>
            <w:r/>
            <w:r>
              <w:rPr>
                <w:rFonts w:ascii="Calibri" w:hAnsi="Calibri"/>
                <w:b w:val="0"/>
                <w:color w:val="000000"/>
                <w:sz w:val="18"/>
              </w:rPr>
              <w:t>No Chrome, DOM, provider, backend, or network dependencies</w:t>
            </w:r>
          </w:p>
        </w:tc>
      </w:tr>
    </w:tbl>
    <w:p>
      <w:pPr>
        <w:spacing w:after="80"/>
      </w:pPr>
    </w:p>
    <w:p>
      <w:pPr>
        <w:pStyle w:val="Heading1"/>
        <w:keepNext/>
      </w:pPr>
      <w:r>
        <w:t>Build Output</w:t>
      </w:r>
    </w:p>
    <w:p>
      <w:r>
        <w:t>Chrome still loads the repository root as the unpacked extension folder. The manifest points to generated dist files, and dist remains ignored generated output.</w:t>
      </w:r>
    </w:p>
    <w:tbl>
      <w:tblPr>
        <w:tblW w:type="dxa" w:w="9360"/>
        <w:tblLayout w:type="fixed"/>
        <w:tblLook w:firstColumn="1" w:firstRow="1" w:lastColumn="0" w:lastRow="0" w:noHBand="0" w:noVBand="1" w:val="04A0"/>
        <w:jc w:val="left"/>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3300"/>
            <w:vAlign w:val="center"/>
            <w:tcMar>
              <w:top w:w="80" w:type="dxa"/>
              <w:start w:w="120" w:type="dxa"/>
              <w:bottom w:w="80" w:type="dxa"/>
              <w:end w:w="120" w:type="dxa"/>
            </w:tcMar>
            <w:shd w:fill="F2F4F7"/>
          </w:tcPr>
          <w:p>
            <w:pPr>
              <w:spacing w:after="0" w:line="276" w:lineRule="auto"/>
            </w:pPr>
            <w:r/>
            <w:r>
              <w:rPr>
                <w:rFonts w:ascii="Calibri" w:hAnsi="Calibri"/>
                <w:b/>
                <w:color w:val="1F4D78"/>
                <w:sz w:val="19"/>
              </w:rPr>
              <w:t>Generated file</w:t>
            </w:r>
          </w:p>
        </w:tc>
        <w:tc>
          <w:tcPr>
            <w:tcW w:type="dxa" w:w="6060"/>
            <w:vAlign w:val="center"/>
            <w:tcMar>
              <w:top w:w="80" w:type="dxa"/>
              <w:start w:w="120" w:type="dxa"/>
              <w:bottom w:w="80" w:type="dxa"/>
              <w:end w:w="120" w:type="dxa"/>
            </w:tcMar>
            <w:shd w:fill="F2F4F7"/>
          </w:tcPr>
          <w:p>
            <w:pPr>
              <w:spacing w:after="0" w:line="276" w:lineRule="auto"/>
            </w:pPr>
            <w:r/>
            <w:r>
              <w:rPr>
                <w:rFonts w:ascii="Calibri" w:hAnsi="Calibri"/>
                <w:b/>
                <w:color w:val="1F4D78"/>
                <w:sz w:val="19"/>
              </w:rPr>
              <w:t>Source</w:t>
            </w:r>
          </w:p>
        </w:tc>
      </w:tr>
      <w:tr>
        <w:tc>
          <w:tcPr>
            <w:tcW w:type="dxa" w:w="3300"/>
            <w:vAlign w:val="center"/>
            <w:tcMar>
              <w:top w:w="80" w:type="dxa"/>
              <w:start w:w="120" w:type="dxa"/>
              <w:bottom w:w="80" w:type="dxa"/>
              <w:end w:w="120" w:type="dxa"/>
            </w:tcMar>
          </w:tcPr>
          <w:p>
            <w:pPr>
              <w:spacing w:after="0" w:line="276" w:lineRule="auto"/>
            </w:pPr>
            <w:r/>
            <w:r>
              <w:rPr>
                <w:rFonts w:ascii="Calibri" w:hAnsi="Calibri"/>
                <w:b w:val="0"/>
                <w:color w:val="000000"/>
                <w:sz w:val="18"/>
              </w:rPr>
              <w:t>dist/background.js</w:t>
            </w:r>
          </w:p>
        </w:tc>
        <w:tc>
          <w:tcPr>
            <w:tcW w:type="dxa" w:w="6060"/>
            <w:vAlign w:val="center"/>
            <w:tcMar>
              <w:top w:w="80" w:type="dxa"/>
              <w:start w:w="120" w:type="dxa"/>
              <w:bottom w:w="80" w:type="dxa"/>
              <w:end w:w="120" w:type="dxa"/>
            </w:tcMar>
          </w:tcPr>
          <w:p>
            <w:pPr>
              <w:spacing w:after="0" w:line="276" w:lineRule="auto"/>
            </w:pPr>
            <w:r/>
            <w:r>
              <w:rPr>
                <w:rFonts w:ascii="Calibri" w:hAnsi="Calibri"/>
                <w:b w:val="0"/>
                <w:color w:val="000000"/>
                <w:sz w:val="18"/>
              </w:rPr>
              <w:t>src/extension/service-worker/main.ts</w:t>
            </w:r>
          </w:p>
        </w:tc>
      </w:tr>
      <w:tr>
        <w:tc>
          <w:tcPr>
            <w:tcW w:type="dxa" w:w="3300"/>
            <w:vAlign w:val="center"/>
            <w:tcMar>
              <w:top w:w="80" w:type="dxa"/>
              <w:start w:w="120" w:type="dxa"/>
              <w:bottom w:w="80" w:type="dxa"/>
              <w:end w:w="120" w:type="dxa"/>
            </w:tcMar>
          </w:tcPr>
          <w:p>
            <w:pPr>
              <w:spacing w:after="0" w:line="276" w:lineRule="auto"/>
            </w:pPr>
            <w:r/>
            <w:r>
              <w:rPr>
                <w:rFonts w:ascii="Calibri" w:hAnsi="Calibri"/>
                <w:b w:val="0"/>
                <w:color w:val="000000"/>
                <w:sz w:val="18"/>
              </w:rPr>
              <w:t>dist/sidepanel.html</w:t>
            </w:r>
          </w:p>
        </w:tc>
        <w:tc>
          <w:tcPr>
            <w:tcW w:type="dxa" w:w="6060"/>
            <w:vAlign w:val="center"/>
            <w:tcMar>
              <w:top w:w="80" w:type="dxa"/>
              <w:start w:w="120" w:type="dxa"/>
              <w:bottom w:w="80" w:type="dxa"/>
              <w:end w:w="120" w:type="dxa"/>
            </w:tcMar>
          </w:tcPr>
          <w:p>
            <w:pPr>
              <w:spacing w:after="0" w:line="276" w:lineRule="auto"/>
            </w:pPr>
            <w:r/>
            <w:r>
              <w:rPr>
                <w:rFonts w:ascii="Calibri" w:hAnsi="Calibri"/>
                <w:b w:val="0"/>
                <w:color w:val="000000"/>
                <w:sz w:val="18"/>
              </w:rPr>
              <w:t>src/extension/sidepanel/sidepanel.html</w:t>
            </w:r>
          </w:p>
        </w:tc>
      </w:tr>
      <w:tr>
        <w:tc>
          <w:tcPr>
            <w:tcW w:type="dxa" w:w="3300"/>
            <w:vAlign w:val="center"/>
            <w:tcMar>
              <w:top w:w="80" w:type="dxa"/>
              <w:start w:w="120" w:type="dxa"/>
              <w:bottom w:w="80" w:type="dxa"/>
              <w:end w:w="120" w:type="dxa"/>
            </w:tcMar>
          </w:tcPr>
          <w:p>
            <w:pPr>
              <w:spacing w:after="0" w:line="276" w:lineRule="auto"/>
            </w:pPr>
            <w:r/>
            <w:r>
              <w:rPr>
                <w:rFonts w:ascii="Calibri" w:hAnsi="Calibri"/>
                <w:b w:val="0"/>
                <w:color w:val="000000"/>
                <w:sz w:val="18"/>
              </w:rPr>
              <w:t>dist/sidepanel.css</w:t>
            </w:r>
          </w:p>
        </w:tc>
        <w:tc>
          <w:tcPr>
            <w:tcW w:type="dxa" w:w="6060"/>
            <w:vAlign w:val="center"/>
            <w:tcMar>
              <w:top w:w="80" w:type="dxa"/>
              <w:start w:w="120" w:type="dxa"/>
              <w:bottom w:w="80" w:type="dxa"/>
              <w:end w:w="120" w:type="dxa"/>
            </w:tcMar>
          </w:tcPr>
          <w:p>
            <w:pPr>
              <w:spacing w:after="0" w:line="276" w:lineRule="auto"/>
            </w:pPr>
            <w:r/>
            <w:r>
              <w:rPr>
                <w:rFonts w:ascii="Calibri" w:hAnsi="Calibri"/>
                <w:b w:val="0"/>
                <w:color w:val="000000"/>
                <w:sz w:val="18"/>
              </w:rPr>
              <w:t>src/extension/sidepanel/sidepanel.css</w:t>
            </w:r>
          </w:p>
        </w:tc>
      </w:tr>
      <w:tr>
        <w:tc>
          <w:tcPr>
            <w:tcW w:type="dxa" w:w="3300"/>
            <w:vAlign w:val="center"/>
            <w:tcMar>
              <w:top w:w="80" w:type="dxa"/>
              <w:start w:w="120" w:type="dxa"/>
              <w:bottom w:w="80" w:type="dxa"/>
              <w:end w:w="120" w:type="dxa"/>
            </w:tcMar>
          </w:tcPr>
          <w:p>
            <w:pPr>
              <w:spacing w:after="0" w:line="276" w:lineRule="auto"/>
            </w:pPr>
            <w:r/>
            <w:r>
              <w:rPr>
                <w:rFonts w:ascii="Calibri" w:hAnsi="Calibri"/>
                <w:b w:val="0"/>
                <w:color w:val="000000"/>
                <w:sz w:val="18"/>
              </w:rPr>
              <w:t>dist/sidepanel.js</w:t>
            </w:r>
          </w:p>
        </w:tc>
        <w:tc>
          <w:tcPr>
            <w:tcW w:type="dxa" w:w="6060"/>
            <w:vAlign w:val="center"/>
            <w:tcMar>
              <w:top w:w="80" w:type="dxa"/>
              <w:start w:w="120" w:type="dxa"/>
              <w:bottom w:w="80" w:type="dxa"/>
              <w:end w:w="120" w:type="dxa"/>
            </w:tcMar>
          </w:tcPr>
          <w:p>
            <w:pPr>
              <w:spacing w:after="0" w:line="276" w:lineRule="auto"/>
            </w:pPr>
            <w:r/>
            <w:r>
              <w:rPr>
                <w:rFonts w:ascii="Calibri" w:hAnsi="Calibri"/>
                <w:b w:val="0"/>
                <w:color w:val="000000"/>
                <w:sz w:val="18"/>
              </w:rPr>
              <w:t>src/extension/sidepanel/main.ts</w:t>
            </w:r>
          </w:p>
        </w:tc>
      </w:tr>
      <w:tr>
        <w:tc>
          <w:tcPr>
            <w:tcW w:type="dxa" w:w="3300"/>
            <w:vAlign w:val="center"/>
            <w:tcMar>
              <w:top w:w="80" w:type="dxa"/>
              <w:start w:w="120" w:type="dxa"/>
              <w:bottom w:w="80" w:type="dxa"/>
              <w:end w:w="120" w:type="dxa"/>
            </w:tcMar>
          </w:tcPr>
          <w:p>
            <w:pPr>
              <w:spacing w:after="0" w:line="276" w:lineRule="auto"/>
            </w:pPr>
            <w:r/>
            <w:r>
              <w:rPr>
                <w:rFonts w:ascii="Calibri" w:hAnsi="Calibri"/>
                <w:b w:val="0"/>
                <w:color w:val="000000"/>
                <w:sz w:val="18"/>
              </w:rPr>
              <w:t>dist/backend/server.cjs</w:t>
            </w:r>
          </w:p>
        </w:tc>
        <w:tc>
          <w:tcPr>
            <w:tcW w:type="dxa" w:w="6060"/>
            <w:vAlign w:val="center"/>
            <w:tcMar>
              <w:top w:w="80" w:type="dxa"/>
              <w:start w:w="120" w:type="dxa"/>
              <w:bottom w:w="80" w:type="dxa"/>
              <w:end w:w="120" w:type="dxa"/>
            </w:tcMar>
          </w:tcPr>
          <w:p>
            <w:pPr>
              <w:spacing w:after="0" w:line="276" w:lineRule="auto"/>
            </w:pPr>
            <w:r/>
            <w:r>
              <w:rPr>
                <w:rFonts w:ascii="Calibri" w:hAnsi="Calibri"/>
                <w:b w:val="0"/>
                <w:color w:val="000000"/>
                <w:sz w:val="18"/>
              </w:rPr>
              <w:t>src/backend/server.ts</w:t>
            </w:r>
          </w:p>
        </w:tc>
      </w:tr>
      <w:tr>
        <w:tc>
          <w:tcPr>
            <w:tcW w:type="dxa" w:w="3300"/>
            <w:vAlign w:val="center"/>
            <w:tcMar>
              <w:top w:w="80" w:type="dxa"/>
              <w:start w:w="120" w:type="dxa"/>
              <w:bottom w:w="80" w:type="dxa"/>
              <w:end w:w="120" w:type="dxa"/>
            </w:tcMar>
          </w:tcPr>
          <w:p>
            <w:pPr>
              <w:spacing w:after="0" w:line="276" w:lineRule="auto"/>
            </w:pPr>
            <w:r/>
            <w:r>
              <w:rPr>
                <w:rFonts w:ascii="Calibri" w:hAnsi="Calibri"/>
                <w:b w:val="0"/>
                <w:color w:val="000000"/>
                <w:sz w:val="18"/>
              </w:rPr>
              <w:t>dist/domain/guidance-contract.mjs</w:t>
            </w:r>
          </w:p>
        </w:tc>
        <w:tc>
          <w:tcPr>
            <w:tcW w:type="dxa" w:w="6060"/>
            <w:vAlign w:val="center"/>
            <w:tcMar>
              <w:top w:w="80" w:type="dxa"/>
              <w:start w:w="120" w:type="dxa"/>
              <w:bottom w:w="80" w:type="dxa"/>
              <w:end w:w="120" w:type="dxa"/>
            </w:tcMar>
          </w:tcPr>
          <w:p>
            <w:pPr>
              <w:spacing w:after="0" w:line="276" w:lineRule="auto"/>
            </w:pPr>
            <w:r/>
            <w:r>
              <w:rPr>
                <w:rFonts w:ascii="Calibri" w:hAnsi="Calibri"/>
                <w:b w:val="0"/>
                <w:color w:val="000000"/>
                <w:sz w:val="18"/>
              </w:rPr>
              <w:t>src/domain/guidance-contract.ts</w:t>
            </w:r>
          </w:p>
        </w:tc>
      </w:tr>
    </w:tbl>
    <w:p>
      <w:pPr>
        <w:spacing w:after="80"/>
      </w:pPr>
    </w:p>
    <w:p>
      <w:pPr>
        <w:pStyle w:val="Heading1"/>
        <w:keepNext/>
      </w:pPr>
      <w:r>
        <w:t>Refactor Path For service-worker/main.ts</w:t>
      </w:r>
    </w:p>
    <w:p>
      <w:r>
        <w:t>The current service worker entry is intentionally still large. Shrink it through small vertical slices that preserve runtime behavior.</w:t>
      </w:r>
    </w:p>
    <w:p>
      <w:pPr>
        <w:pStyle w:val="ListNumber"/>
        <w:spacing w:after="80" w:line="276" w:lineRule="auto"/>
        <w:ind w:left="720" w:hanging="360"/>
      </w:pPr>
      <w:r>
        <w:t>Move runtime message dispatch into message-router.ts.</w:t>
      </w:r>
    </w:p>
    <w:p>
      <w:pPr>
        <w:pStyle w:val="ListNumber"/>
        <w:spacing w:after="80" w:line="276" w:lineRule="auto"/>
        <w:ind w:left="720" w:hanging="360"/>
      </w:pPr>
      <w:r>
        <w:t>Move storage access into session-store.ts.</w:t>
      </w:r>
    </w:p>
    <w:p>
      <w:pPr>
        <w:pStyle w:val="ListNumber"/>
        <w:spacing w:after="80" w:line="276" w:lineRule="auto"/>
        <w:ind w:left="720" w:hanging="360"/>
      </w:pPr>
      <w:r>
        <w:t>Move tab activation, navigation, and removal handlers into tab-events.ts.</w:t>
      </w:r>
    </w:p>
    <w:p>
      <w:pPr>
        <w:pStyle w:val="ListNumber"/>
        <w:spacing w:after="80" w:line="276" w:lineRule="auto"/>
        <w:ind w:left="720" w:hanging="360"/>
      </w:pPr>
      <w:r>
        <w:t>Move provider selection and model calls into src/providers/.</w:t>
      </w:r>
    </w:p>
    <w:p>
      <w:pPr>
        <w:pStyle w:val="ListNumber"/>
        <w:spacing w:after="80" w:line="276" w:lineRule="auto"/>
        <w:ind w:left="720" w:hanging="360"/>
      </w:pPr>
      <w:r>
        <w:t>Move Page Snapshot and overlay functions into src/extension/content/.</w:t>
      </w:r>
    </w:p>
    <w:p>
      <w:pPr>
        <w:pStyle w:val="ListNumber"/>
        <w:spacing w:after="80" w:line="276" w:lineRule="auto"/>
        <w:ind w:left="720" w:hanging="360"/>
      </w:pPr>
      <w:r>
        <w:t>Move chrome.scripting.executeScript calls into page-injection.ts.</w:t>
      </w:r>
    </w:p>
    <w:p>
      <w:pPr>
        <w:pStyle w:val="ListNumber"/>
        <w:spacing w:after="80" w:line="276" w:lineRule="auto"/>
        <w:ind w:left="720" w:hanging="360"/>
      </w:pPr>
      <w:r>
        <w:t>Remove // @ts-nocheck only after extracted boundaries have strict types and behavior tests.</w:t>
      </w:r>
    </w:p>
    <w:p>
      <w:pPr>
        <w:pStyle w:val="Heading1"/>
        <w:keepNext/>
      </w:pPr>
      <w:r>
        <w:t>Validation Checklist</w:t>
      </w:r>
    </w:p>
    <w:p>
      <w:pPr>
        <w:pStyle w:val="ListBullet"/>
        <w:spacing w:after="80" w:line="276" w:lineRule="auto"/>
        <w:ind w:left="720" w:hanging="360"/>
      </w:pPr>
      <w:r>
        <w:t>npm run typecheck</w:t>
      </w:r>
    </w:p>
    <w:p>
      <w:pPr>
        <w:pStyle w:val="ListBullet"/>
        <w:spacing w:after="80" w:line="276" w:lineRule="auto"/>
        <w:ind w:left="720" w:hanging="360"/>
      </w:pPr>
      <w:r>
        <w:t>npm test</w:t>
      </w:r>
    </w:p>
    <w:p>
      <w:pPr>
        <w:pStyle w:val="ListBullet"/>
        <w:spacing w:after="80" w:line="276" w:lineRule="auto"/>
        <w:ind w:left="720" w:hanging="360"/>
      </w:pPr>
      <w:r>
        <w:t>npm run build</w:t>
      </w:r>
    </w:p>
    <w:p>
      <w:pPr>
        <w:pStyle w:val="ListBullet"/>
        <w:spacing w:after="80" w:line="276" w:lineRule="auto"/>
        <w:ind w:left="720" w:hanging="360"/>
      </w:pPr>
      <w:r>
        <w:t>node --check dist/background.js</w:t>
      </w:r>
    </w:p>
    <w:p>
      <w:pPr>
        <w:pStyle w:val="ListBullet"/>
        <w:spacing w:after="80" w:line="276" w:lineRule="auto"/>
        <w:ind w:left="720" w:hanging="360"/>
      </w:pPr>
      <w:r>
        <w:t>node --check dist/sidepanel.js</w:t>
      </w:r>
    </w:p>
    <w:p>
      <w:pPr>
        <w:pStyle w:val="ListBullet"/>
        <w:spacing w:after="80" w:line="276" w:lineRule="auto"/>
        <w:ind w:left="720" w:hanging="360"/>
      </w:pPr>
      <w:r>
        <w:t>node --check dist/backend/server.cjs</w:t>
      </w:r>
    </w:p>
    <w:p>
      <w:pPr>
        <w:pStyle w:val="ListBullet"/>
        <w:spacing w:after="80" w:line="276" w:lineRule="auto"/>
        <w:ind w:left="720" w:hanging="360"/>
      </w:pPr>
      <w:r>
        <w:t>Manual Chrome validation on normal http:// or https:// pages, not internal browser pages.</w:t>
      </w:r>
    </w:p>
    <w:p>
      <w:pPr>
        <w:pStyle w:val="Heading1"/>
        <w:keepNext/>
      </w:pPr>
      <w:r>
        <w:t>References</w:t>
      </w:r>
    </w:p>
    <w:p>
      <w:pPr>
        <w:pStyle w:val="ListBullet"/>
        <w:spacing w:after="80" w:line="276" w:lineRule="auto"/>
        <w:ind w:left="720" w:hanging="360"/>
      </w:pPr>
      <w:r>
        <w:t>Chrome extension service workers: https://developer.chrome.com/docs/extensions/develop/concepts/service-workers</w:t>
      </w:r>
    </w:p>
    <w:p>
      <w:pPr>
        <w:pStyle w:val="ListBullet"/>
        <w:spacing w:after="80" w:line="276" w:lineRule="auto"/>
        <w:ind w:left="720" w:hanging="360"/>
      </w:pPr>
      <w:r>
        <w:t>Chrome content scripts: https://developer.chrome.com/docs/extensions/develop/concepts/content-scripts</w:t>
      </w:r>
    </w:p>
    <w:p>
      <w:pPr>
        <w:pStyle w:val="ListBullet"/>
        <w:spacing w:after="80" w:line="276" w:lineRule="auto"/>
        <w:ind w:left="720" w:hanging="360"/>
      </w:pPr>
      <w:r>
        <w:t>Chrome Side Panel API: https://developer.chrome.com/docs/extensions/reference/api/sidePanel</w:t>
      </w:r>
    </w:p>
    <w:p>
      <w:pPr>
        <w:pStyle w:val="ListBullet"/>
        <w:spacing w:after="80" w:line="276" w:lineRule="auto"/>
        <w:ind w:left="720" w:hanging="360"/>
      </w:pPr>
      <w:r>
        <w:t>Manifest V3 overview: https://developer.chrome.com/docs/extensions/develop/migrate/what-is-mv3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Bridge Guided Task Mode | Architecture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5A5A5A"/>
        <w:sz w:val="18"/>
      </w:rPr>
      <w:t>Bridge Chrome Extension Architecture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8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80" w:lineRule="auto"/>
    </w:pPr>
    <w:rPr>
      <w:rFonts w:asciiTheme="majorHAnsi" w:eastAsiaTheme="majorEastAsia" w:hAnsiTheme="majorHAnsi" w:cstheme="majorBidi" w:ascii="Calibri" w:hAnsi="Calibr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