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더 뚜렷하게 드러난다. 이러한 경향은 η_sub 및 EQE를 증가시키기 위해 고굴절 기판과 광추출 구조를 활용할 때 더욱 크게 작용한다(그림 2(b)). 고굴절 광추출 구조를 사용하면 광추출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2(c)).</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2(d)에서 볼 수 있듯이 기판에서 소자 방향으로 입사하는 빛에 대한 각도별, 파장별 round-trip 손실은 전극 구조에 따라 큰 차이를 보인다. 널리 쓰이는 Al 음극과 150 nm ITO의 조합에서는 각도와 파장에 대해 평균 16%의 손실이 발생하는 반면, 반사판을 Ag로 바꾸면 같은 ITO에서도 4.5%, 투명 전극을 50 nm의 IZO로 얇게 하면 3.2%까지 낮아진다. 투명 전극을 10 nm의 얇은 Ag로 대체한 경우에도 5.6% 수준으로, 두 방식 모두 Al 대비 세 배 이상 낮은 왕복 손실을 갖는다. 반사도뿐 아니라 기판에 도달한 빛의 각도 분포와 되돌아오는 빛의 각도 분포도 중요하므로, 같은 전극이라도 기생 흡수를 최소화하는 방향의 설계가 중요하다. Poynting vector 기반의 분석으로 이 손실이 발생하는 위치를 층별로 추적하면, 가시광선 대역에서 투명한 유기물 층을 지날 때는 손실이 없지만 TCO를 지날 때는 두께에 비례하는 손실이 발생하고, 금속 전극에서 반사될 때는 Al에서 훨씬 큰 손실이 발생한다(Supplementary Fig. X). 이는 그림 2(a)에서 왕복 손실을 거울의 ohmic 손실과 TCO 흡수로 나눈 결과와 일치한다.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ZnS/LiF DBR을 금속 반사판 대신 사용하면 흡수는 3.0%까지 줄어들지만 stopband 밖으로 투과되는 빛이 더해져 왕복 손실은 11.5%가 되며, 이 투과 손실은 공기로의 탈출 원뿔 안쪽 각도에서만 발생하므로 굴절률 1.8의 기판에서는 3.3%로 줄어 전체 왕복 손실도 6.4%까지 내려간다.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