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sub-to-air 추출 효율은 Ag에서 더 높게 나타나지만, TCO에 의한 흡수에 따라서도 가파르게 감소하는 경향을 보인다. 이러한 경향은 η_sub 및 EQE를 증가시키기 위해 고굴절 기판과 광추출 구조를 활용할 때 더욱 크게 작용한다(그림 2(b)). 고굴절 광추출 구조를 사용하면 광추출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2(c)).</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2(d)에서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이 손실이 발생하는 위치를 층별로 추적하면, 가시광선 대역에서 투명한 유기물 층을 지날 때는 손실이 없지만 TCO를 지날 때는 두께에 비례하는 손실이 발생하고, 금속 전극에서 반사될 때는 Al에서 훨씬 큰 손실이 발생한다(Supplementary Fig. X). 이는 그림 2(a)에서 왕복 손실을 거울의 ohmic 손실과 TCO 흡수로 나눈 결과와 일치한다.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