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제목안: Near-unity light extraction in organic light-emitting diodes by multi-pass extraction with low-loss rear reflectors]]</w:t>
      </w:r>
    </w:p>
    <w:p/>
    <w:p>
      <w:r>
        <w:rPr>
          <w:b w:val="0"/>
        </w:rPr>
        <w:t>[[저자·소속·교신저자]]</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microlens array가 형성된 고굴절 기판 위의 소자에서는 전류 경로 밖에 둔 보조 반사체만으로 EQE를 61%에서 77%로 높였다. 제안하는 설계는 고배향 발광체, 마이크로캐비티, 정밀하게 최적화된 광추출 구조와 같은 종래의 설계 제약에서 벗어나면서도 등방성 발광체로 80% 후반, 흡수가 더 작은 투명 전극과 결합하면 90% 이상의 EQE에 이르는 경로를 제시하며, 조명과 디스플레이용 OLED뿐 아니라 tandem OLED, QLED, PeLED와 같은 다른 박막 발광 소자에도 적용될 수 있다.</w:t>
      </w:r>
    </w:p>
    <w:p/>
    <w:p>
      <w:pPr>
        <w:spacing w:before="160" w:after="80"/>
      </w:pPr>
      <w:r>
        <w:rPr>
          <w:b/>
          <w:sz w:val="24"/>
        </w:rPr>
        <w:t>서론</w:t>
      </w:r>
    </w:p>
    <w:p/>
    <w:p>
      <w:r>
        <w:rPr>
          <w:b w:val="0"/>
        </w:rPr>
        <w:t>OLED는 높은 색순도, 면발광, 대면적 공정과 같은 장점에 힘입어 현재의 디스플레이 시장을 주도하고 있다. 최근에는 AR/VR 기기와 같은 모바일 XR 시장과 고사양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어렵다고 여겨진다.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마이크로캐비티 구조의 도입[12] 등 OLED 효율 향상 연구의 대부분은 이 값을 끌어올리는 데 초점을 두어 왔다. 이 가운데 외부 광추출 구조를 활용하는 기법은 소자의 전기적 구동에 영향을 주지 않으면서 기판 모드(substrate mode)를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설계 지침,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광추출을 다중 통과 추출 과정으로 기술하는 닫힌 형태의 법칙을 유도하고, 파동 광학과 기하 광학을 결합한 통합형 광학 시뮬레이션으로 이를 검증하였다. 그 결과 반사체 역할을 하는 전극에서의 Joule dissipation loss와 투명 전극에서의 흡수, 즉 소자 내부의 기생 흡수가 주된 손실 경로임을 밝혀냈고, 이 손실을 최소화하는 구체적인 설계 규칙을 새롭게 정의하였다. 이에 따라 제작한 소자에서 기판에 도달한 빛의 91.6%가 출광되는 것을 실측으로 확인하였고, microlens array가 형성된 고굴절 기판 위의 소자에 보조 반사체를 추가하여 77%의 EQE를 실험적으로 구현하였으며, 동일한 설계 규칙으로 전극 통합형 소자에서 등방성 발광체로도 80% 후반, 저흡수 투명 전극으로는 90% 이상의 EQE에 이르는 경로를 제시하였다. 이 설계 규칙은 마이크로캐비티나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4"/>
        </w:rPr>
        <w:t>결과</w:t>
      </w:r>
    </w:p>
    <w:p/>
    <w:p>
      <w:pPr>
        <w:spacing w:before="160" w:after="80"/>
      </w:pPr>
      <w:r>
        <w:rPr>
          <w:b/>
          <w:sz w:val="22"/>
        </w:rPr>
        <w:t>다중 통과 추출과 추출 효율의 정의</w:t>
      </w:r>
    </w:p>
    <w:p/>
    <w:p>
      <w:r>
        <w:rPr>
          <w:b w:val="0"/>
        </w:rPr>
        <w:t>그림 1(a)는 일반적인 OLED에 외부 광추출 구조를 부착한 경우와, 본 연구의 설계 규칙에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설계 규칙에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파워의 분율로, 도파 모드(waveguided mode), 표면 플라즈몬 폴라리톤(surface plasmon polariton, SPP) 모드, 그리고 소자 내 흡수에 따른 손실을 제외하고 남은 파워를 의미한다. 대부분의 외부 광추출 구조는 기판과의 굴절률 차이에 따른 추가 손실을 줄이기 위해 기판과 index matching 되므로, 이 경우 η_sub는 곧 광추출 구조까지 전달되는 파워이기도 하다. η_ext는 기판까지 전달된 파워 중 외부 광추출 구조에 의해 최종적으로 공기 중으로 출광되는 분율로, 이하 이를 기판에서 공기로의 추출 효율(sub-to-air extraction efficiency; 이하 sub-to-air 추출 효율)이라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반사체이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반사체를 갖는 박막 무기 LED의 광추출에서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반사체 역할을 하는 전극에서의 Joule dissipation loss와 투명 전극에서의 흡수에 의해 주로 결정된다. p는 기판 내부에서 각도가 무작위화된 빛에 대해 대략 1/n_sub² 수준으로[15],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표 1)은 행렬 급수로 계산하였다.</w:t>
      </w:r>
    </w:p>
    <w:p/>
    <w:p>
      <w:r>
        <w:rPr>
          <w:b w:val="0"/>
        </w:rPr>
        <w:t>식 (2)의 두 인자 가운데 η_sub는 도파 모드와 SPP 손실이 지배적이며, 고굴절 기판의 도입이나 낮은 이상 굴절률(n_e)을 갖는 두꺼운 ETL 등 이를 줄이는 방법론은 비교적 잘 알려져 있어 near-unity의 기판 전달 효율을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2"/>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캐비티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금속 반사체의 Joule dissipation loss와 TCO 흡수로 나누어 Al과 Ag 반사체에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금속 반사체의 Joule dissipation loss는 일정하므로, 두 손실이 차지하는 비중은 반사체의 종류에 따라 크게 달라진다. 통상적인 Al 반사체에서는 반사체에서만 왕복당 13%를 잃기 때문에 150 nm의 ITO를 쓰더라도 TCO 흡수는 왕복 손실의 15% 수준에 그치는 반면, 반사체 손실이 1.8%로 줄어드는 저손실 Ag 반사체에서는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임계각이 작아지고 p가 작아지며, 식 (3)에서 보듯 p가 낮을수록 같은 왕복 손실이라도 공기 중으로 빠져나가기 전에 소자 내에서 소실되는 양이 늘어난다(Supplementary Fig. 2: 광추출 구조의 굴절률에 따른 BSDF_T, BSDF_R). 실제로 기판의 굴절률이 1.3에서 2.0으로 커지는 동안 p는 0.58에서 0.23으로 2.5배 작아지는 반면 왕복 손실 자체는 거의 변하지 않으므로(그림 2(d)), 추출 효율의 감소는 반사체이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효율의 향상을 상쇄하여 EQE가 n_sub = 1.8에서 61%로 최대가 된 뒤 더 높은 굴절률에서는 59–61%로 서서히 줄어든다(그림 2(f)). 기존 연구들이 60% 부근에서 정체된 원인이 여기에 있다. 반면 왕복 손실이 수 %에 불과한 Ag 소자에서는 EQE가 기판 굴절률에 따라 계속 증가하여 n_sub = 1.8에서 89%에 이르고 2.0에서도 88%를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왕복 손실은 반사체 구조에 따라 큰 차이를 보인다. 투명 전극을 150 nm의 ITO로 고정한 채 반사체만 바꾸어 비교하면, 발광 스펙트럼과 각도 분포(cos θ sin θ)로 가중 평균한 왕복 손실은 널리 쓰이는 Al 음극에서 15.6%인 반면 Ag 반사체에서는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반사체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반사체(DBR)을 쓸 수도 있다. 열증착이 가능한 ZnS와 LiF 10쌍을 투명 음극(ITO 50 nm) 뒤에 두고 각 층의 두께를 기판 내 전 각도와 발광 스펙트럼에 대해 최적화한 반사체을 계산하면(그림 2(i), (j); 설계 세부는 Supplementary Note 2), 흡수는 4.1%로 Ag보다 낮지만 stopband 밖의 파장과 각도에서 뒤로 투과되는 1.0%가 더해져 왕복 손실 전체는 5.1%로 Ag와 같은 수준이 된다. 즉 반사체이 금속이든 dielectric이든 식 (3)이 요구하는 것은 왕복 손실이 수 % 이내라는 조건 하나이다. 전극 통합형 구조에서는 투명 전극을 두 번 지나지 않는 두꺼운 Ag가 더 단순하고 손실도 작다. 반면 dielectric 반사체은 전도성이 없어 완성된 소자 위에 전극과 무관하게 덧붙일 수 있으므로, 이미 만들어진 소자의 왕복 손실을 사후에 낮추는 보조 반사체으로 적합하며, 뒤의 실험에서 이 구성을 사용한다.</w:t>
      </w:r>
    </w:p>
    <w:p/>
    <w:p>
      <w:pPr>
        <w:spacing w:before="160" w:after="80"/>
      </w:pPr>
      <w:r>
        <w:rPr>
          <w:b/>
          <w:sz w:val="22"/>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설계 규칙이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핵심이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설계 규칙임을 알 수 있다. Thin Ag의 경우 연속막을 이루는 Ag는 n값이 0.04 정도로 매우 낮아 이론적으로는 매우 높은 효율을 기대하게 하지만,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공정을 통한 연속막 형태의 thin Ag 열증착이나 저손상 스퍼터 기반의 투명 산화물 전극이 활용되어야 한다.</w:t>
      </w:r>
    </w:p>
    <w:p/>
    <w:p>
      <w:pPr>
        <w:spacing w:before="160" w:after="80"/>
      </w:pPr>
      <w:r>
        <w:rPr>
          <w:b/>
          <w:sz w:val="22"/>
        </w:rPr>
        <w:t>기판 전달 모드의 설계</w:t>
      </w:r>
    </w:p>
    <w:p/>
    <w:p>
      <w:r>
        <w:rPr>
          <w:b w:val="0"/>
        </w:rPr>
        <w:t>식 (2)의 나머지 한 인자인 η_sub도 함께 높여야 EQE가 near-unity에 이른다. η_ext와 달리 여기에는 기존 OLED 광학 설계의 방법론을 그대로 활용할 수 있다. 도파 모드는 유기층과 투명 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도파 모드의 파워가 전부 기판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흡수를 늘리므로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2"/>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반사체 역할만 하도록 설계하였다. 최대 EQE는 20%에서 55.8%로 2.8배 향상되었으며, 시뮬레이션으로 계산한 기판 전달 효율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반사체의 활용 가능성을 확인하였다(그림 4(b)). Al 음극만을 반사체으로 활용한 경우에는 Joule dissipation loss 때문에 EQE가 61%에 그쳤지만, 완성된 소자의 후면에 ZnS/LiF DBR을 보조 반사체으로 추가한 경우에는 77%의 EQE를 확인하였다. 이 경우 기판 전달 효율은 88%로, 약 87.5%의 sub-to-air 추출 효율을 달성한 것이다. 이 DBR은 ZnS와 LiF를 4.5쌍만 열증착한 것으로, 일반적인 DBR이 10쌍 이상의 여러 층을 갖는 것과 달리 유기층 위에 손상 없이 형성할 수 있으며, Ag와 같은 전도성 반사체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2"/>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마이크로캐비티로 빛을 정면으로 모으거나 높은 배향을 갖는 발광체로 escape cone 안에 최대한 많은 빛을 집중시키는 설계가 필수적이었다. 하지만 그림 3(a)에서 본 것처럼 본 연구의 설계 규칙에서는 two-beam interference나 Fabry–Perot 공진을 형성하는 것보다 소자 내부의 기생 흡수를 최소화하는 것이 훨씬 중요하다. 그림 5(a)에서 볼 수 있듯이 외부 광추출 구조가 없는 경우에는 마이크로캐비티를 형성하기 위해 파장의 1/4배, 3/4배 등 캐비티 차수에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이물에 의한 수율 문제나 누설 전류 개선 등의 이유로 2차 캐비티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발광체로도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550 nm 단파장 계산을 하면 등방성 발광체로 88–89%(ETL 200–300 nm; 일반 스택 대비 +4–5%p)에 이르고, 최근 널리 보고되는 Θ ≈ 0.8–0.9의 발광체[[refs]]로 바꾸어도 88–89%로 거의 달라지지 않으며, ITO의 k를 0.0032에서 0.002로 낮추면 90–91%에 이른다(표 1)[[발광 스펙트럼 전체에 대한 다파장 계산으로 확인]]. 이는 제한된 escape cone 안에 빛을 집중시켜야 한다는 설계 방식을 바꿀 뿐 아니라 발광체 개발의 방향에 대해서도 새로운 지침을 제시한다.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허용 범위도 좁다. 얕은 렌즈일수록 한 번의 만남에서 빠져나가는 확률 p가 작아 왕복 횟수가 늘어나므로, 왕복 손실이 큰 소자에서 손실이 더 크게 누적되기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시료 간 편차와 같은 실제적인 문제를 완화한다.</w:t>
      </w:r>
    </w:p>
    <w:p/>
    <w:p>
      <w:pPr>
        <w:spacing w:before="160" w:after="80"/>
      </w:pPr>
      <w:r>
        <w:rPr>
          <w:b/>
          <w:sz w:val="24"/>
        </w:rPr>
        <w:t>논의</w:t>
      </w:r>
    </w:p>
    <w:p/>
    <w:p>
      <w:r>
        <w:rPr>
          <w:b w:val="0"/>
        </w:rPr>
        <w:t>본 연구에서는 외부 광추출 구조가 적용된 OLED의 광추출을 다중 통과 추출 법칙으로 기술하고 손실 경로를 정량적으로 추적하여, 왕복 손실을 결정하는 소자 내부의 기생 흡수가 최종 효율을 지배한다는 것을 밝히고 이를 최소화하는 새로운 설계 규칙을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흡수가 더 작은 투명 전극으로는 90% 이상의 EQE에 이르는 경로를 제시하였으며, 이 경로는 발광체의 배향(Θ = 0.67–0.9)에 거의 무관하다. 법칙이 요구하는 것은 왕복 손실이 수 % 이내라는 조건뿐이므로 반사체의 종류는 설계 변수이지 전제가 아니며, 이 설계 규칙은 발광체의 배향과 마이크로캐비티로 대변되는 기존 설계 제약에서 벗어난 높은 설계 자유도를 가지고, 광추출 구조의 형상과 산란 특성에 대해서도 넓은 허용 범위를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 기판의 굴절률이 발광층의 굴절률(이방성 발광층에서는 TM 편광의 n_e)보다 큰 경우, 발광층에서는 evanescent이지만 기판에서는 전파하는 근접장 성분(1 &lt; u &lt; n_sub/n_EML)이 아래쪽 층을 투과해 기판에 도달하는 만큼을 η_sub와 P_sub(θ)에 포함하였다.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표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설계 규칙 계산(그림 2, 3, 5(c), 5(d), 표 1)은 550 nm 단파장에서 PLQY = 1, 등방성 배향(horizontal dipole ratio Θ = 2/3; 그림 5(c)만 Θ 가변)으로 수행하였다. 그림 2, 3(a), 3(b), 5(c), 5(d)에서는 전하수송층과 발광층을 가시광선 대역에서 흡수가 없는 n = 1.8의 등방성 매질로, 그림 3(c)에서는 ETL만 이방성(n_o = 1.8, n_e 가변)으로 두었고, 이 계산의 ITO는 König 등[21]이 보고한 값(refractiveindex.info; 550 nm에서 n = 1.864, k = 0.0032)을 사용하였다. 그림 5(a), (b)는 실제 재료 스택 반사체 100 nm/B3PyMPM d_ETL/TCTA:B3PyMPM 25 nm(발광 위치 중앙)/TAPC d_HTL/ITO 50 nm/기판에 대해 ETL과 HTL 두께를 10–500 nm 범위에서 바꾸며 계산한 것으로, (a)는 Al 반사체와 n_sub = 1.5의 평면 기판, (b)는 Ag 반사체와 n_sub = 1.8 기판 위의 반구형 microlens array(n_MLA = 1.8, 급수 20항)이다. 파장은 530–580 nm(1 nm 간격)이며 Ir(ppy)₂acac의 발광 스펙트럼을 광자 수로 가중하였고, PLQY = 1, Θ = 2/3, 면내 파수 격자는 u = k_∥/(n_EML k₀) 기준 단위당 1,000점(최대 u = 3)이다. 그림 5(e)의 산란층은 기판과 굴절률이 정합된 무흡수 층으로, Henyey–Greenstein 위상함수(비대칭 인자 g = 0.5–1.0)와 산란 광학 두께 S = μ_s d = 1–15에 대해 BSDF를 몬테카를로 광선 추적(입사각 빈당 5×10⁴–10⁵ 광자)으로 생성하고, 400–800 nm(1 nm 간격)의 Ir(ppy)₂acac 발광 스펙트럼, PLQY = 0.98, Θ = 0.76의 소자([[확인: Ag 또는 Al 100 nm/B3PyMPM 500 nm/TCTA 25 nm/TCTA:B3PyMPM 10 nm/(TAPC 500 nm/HATCN 3 nm)×3/ITO 50 nm/기판 n = 1.51 또는 1.8]])에 대해 20회 왕복까지 급수를 합하여 EQE를 구하였다. 광학상수는 그림 2, 3의 ITO를 제외하면 모두 실측값이다. Al, IZO, 유기물, ZnS, LiF는 분광 타원측정(spectroscopic ellipsometry)으로 측정한 값을, 그림 4, 5의 ITO는 실측값([[확인: 550 nm에서 n = 2.00, k = 0.0013]])을, Ag는 McPeak 등[24]의 값을 사용하였다. 그림 4의 소자 시뮬레이션에도 각 층의 실측 광학상수를 사용하였다. 표 1의 실제 재료 스택 계산은 550 nm에서 각 층의 실측 광학상수(B3PyMPM과 TCTA:B3PyMPM, TAPC는 이방성 포함)로 P_sub와 R_LED를 구하고, 그림 5와 같은 반구형 microlens array(n_MLA = 1.8)의 BSDF로 급수를 합하여 얻었다.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위의 동일 스택]]으로 제작하였다. 모든 유기물과 금속, 무기물 층은 기저 압력 10⁻⁶ Torr 이하의 진공 열증착으로 형성하였고, OLED 제작에 사용한 모든 유기물은 Lumtec에서 구매하였다.</w:t>
      </w:r>
    </w:p>
    <w:p/>
    <w:p>
      <w:r>
        <w:rPr>
          <w:b w:val="0"/>
        </w:rPr>
        <w:t>제작된 OLED는 sourcemeter, photodiode, spectrometer로 구성된 custom-built goniometer setup에서 특성을 평가하였다[22,23]. [[EQE 산출 방법(각도 분해 측정의 적분 범위, 기판 에지 발광 처리)]]</w:t>
      </w:r>
    </w:p>
    <w:p/>
    <w:p>
      <w:pPr>
        <w:spacing w:before="160" w:after="80"/>
      </w:pPr>
      <w:r>
        <w:rPr>
          <w:b/>
          <w:sz w:val="24"/>
        </w:rPr>
        <w:t>그림 설명</w:t>
      </w:r>
    </w:p>
    <w:p/>
    <w:p>
      <w:r>
        <w:rPr>
          <w:b/>
        </w:rPr>
        <w:t>그림 1. OLED 내 왕복 손실에 따른 광추출 경향.</w:t>
      </w:r>
      <w:r>
        <w:rPr>
          <w:b w:val="0"/>
        </w:rPr>
        <w:t xml:space="preserve"> (a) 일반적인 OLED(위)와 제안하는 설계 규칙을 따른 OLED(아래)에 외부 광추출 구조를 부착했을 때의 광추출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rPr>
          <w:b/>
        </w:rPr>
        <w:t>그림 2. 소자 구조에 따른 왕복 손실, 기판 전달 효율 및 EQE 경향.</w:t>
      </w:r>
      <w:r>
        <w:rPr>
          <w:b w:val="0"/>
        </w:rPr>
        <w:t xml:space="preserve"> (a, b) 외부 광추출 구조가 부착된 OLED에서 기판으로 되돌아온 빛이 한 번 왕복할 때 잃는 손실 A′를 ITO 두께에 따라 금속 반사체의 Joule dissipation loss(색)와 TCO 흡수(회색)로 나눈 것, Al (a)와 Ag (b) 반사체. (c) 그에 따른 sub-to-air 추출 효율. (d–f) 기판 및 index matching 된 광추출 구조의 굴절률에 따른 (d) 탈출 확률 p와 왕복 손실 A′, (e) 추출 효율 η_ext, (f) 기판 전달 효율 η_sub(점선), EQE(실선) 및 그 차이인 extraction loss(음영). (g–i) 투명 전극을 ITO 150 nm로 고정하고 반사체만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1.8)/반사체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rPr>
          <w:b/>
        </w:rPr>
        <w:t>그림 3. OLED 소자 구조에 따른 효율 경향.</w:t>
      </w:r>
      <w:r>
        <w:rPr>
          <w:b w:val="0"/>
        </w:rPr>
        <w:t xml:space="preserve"> (a) ITO 투명 전극(가운데) 또는 thin Ag 투명 전극(오른쪽)을 갖는 왼쪽 구조의 OLED에서 투명 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 전극/n_sub = 1.8이며, η_ext와 EQE는 n_MLA = 1.8 반구형 microlens array의 BSDF를 넣은 행렬 급수로 구하였다. (b) 기판 굴절률 n_sub = 1.5, 1.65, 1.8에서 유기층 전체 두께 d_org(발광층은 중앙)에 따른 모드별 파워 분율. Ag 반사체,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rPr>
          <w:b/>
        </w:rPr>
        <w:t>그림 4. Microlens array를 포함한 OLED 소자의 성능.</w:t>
      </w:r>
      <w:r>
        <w:rPr>
          <w:b w:val="0"/>
        </w:rPr>
        <w:t xml:space="preserve"> (a) 유리 기판과 microlens array film 위에 제작하고 봉지층 위에 Ag 보조 반사체를 둔 green 인광 OLED의 소자 구조, J–V–L 및 L–EQE 특성(최대 EQE 20% → 55.8%). (b) microlens array가 형성된 고굴절 기판(n = 1.77) 위에 제작하고 후면에 ZnS/LiF DBR을 둔 orange 인광 OLED의 소자 구조, J–V–L 및 L–EQE 특성(기준 소자 23%, microlens array 기판 + Al 61%, microlens array 기판 + Al + DBR 77%). DBR은 ZnS/LiF alternating layer 4.5 stack으로 구성되며, 각 층의 두께는 genetic algorithm으로 최적화하였다. 두 소자 모두 반사체는 전류 경로 밖의 보조 반사체이다.</w:t>
      </w:r>
    </w:p>
    <w:p/>
    <w:p>
      <w:r>
        <w:rPr>
          <w:b/>
        </w:rPr>
        <w:t>그림 5. 제안하는 설계 규칙이 주는 설계 자유도.</w:t>
      </w:r>
      <w:r>
        <w:rPr>
          <w:b w:val="0"/>
        </w:rPr>
        <w:t xml:space="preserve"> (a) 일반적인 OLED(Al 음극, n_sub = 1.5, 광추출 구조 없음)와 (b) 제안하는 설계 규칙에 따른 소자(Ag 반사체, n_sub = n_MLA = 1.8, microlens array)에서 ETL과 HTL 두께에 따른 EQE. (c) 발광체의 horizontal dipole ratio Θ에 따른 EQE. Reference는 유리 기판(n = 1.5) 위 Al 음극 소자에 microlens array를 부착하고 두께를 캐비티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점은 최댓값의 95% 이내인 범위의 시작점, 파선은 렌즈가 없는 평면 기판. (e) Scattering layer의 scatterance S와 asymmetry parameter g에 따른 EQE(왼쪽 Al, 오른쪽 Ag 반사체; 기판 n = [[1.51 또는 1.8 확인]]). (c), (d)는 550 nm 단파장, PLQY = 1, Θ = 2/3((c)는 Θ 가변), (a), (b)는 530–580 nm 발광 스펙트럼, PLQY = 1, Θ = 2/3, (e)는 400–800 nm 발광 스펙트럼, PLQY = 0.98, Θ = 0.76으로 계산하였다(Methods).</w:t>
      </w:r>
    </w:p>
    <w:p/>
    <w:p>
      <w:pPr>
        <w:spacing w:before="160" w:after="80"/>
      </w:pPr>
      <w:r>
        <w:rPr>
          <w:b/>
          <w:sz w:val="24"/>
        </w:rPr>
        <w:t>표 설명</w:t>
      </w:r>
    </w:p>
    <w:p/>
    <w:p>
      <w:r>
        <w:rPr>
          <w:b/>
        </w:rPr>
        <w:t>표 1. 실제 재료 스택으로 계산한 near-unity 설계의 EQE (550 nm, PLQY = 1).</w:t>
      </w:r>
      <w:r>
        <w:rPr>
          <w:b w:val="0"/>
        </w:rPr>
        <w:t xml:space="preserve"> 스택: Ag 100 nm / B3PyMPM d_ETL / TCTA:B3PyMPM 25 nm (발광 위치 중앙) / TAPC 180 nm / ITO 50 nm / 기판 n = 1.8 + 반구형 microlens array (n_MLA = 1.8, 행렬 급수). 광학상수는 실측값(B3PyMPM n_o/n_e = 1.821/1.609, TCTA:B3PyMPM 1.833/1.671, TAPC 1.691/1.664)이며, ITO는 König 등[21]의 n = 1.864에 k를 0.0032(문헌값) 또는 0.002로 두었다. Θ = 0.67은 등방성 발광체이다. SPP 손실은 evanescent 성분 전체(SPP 모드 포함)이다. 식 (3)으로 계산하면 η_ext 0.932–0.945, EQE 0.898–0.931로 급수보다 1.4–3.3%p 높다(식 (3)은 상한).932–0.945, EQE 0.888–0.924로 급수보다 1.4–2.5%p 높다(식 (3)은 상한).</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 손실</w:t>
            </w:r>
          </w:p>
        </w:tc>
        <w:tc>
          <w:tcPr>
            <w:tcW w:type="dxa" w:w="1128"/>
          </w:tcPr>
          <w:p>
            <w:r/>
            <w:r>
              <w:rPr>
                <w:b/>
                <w:sz w:val="16"/>
              </w:rPr>
              <w:t>A′</w:t>
            </w:r>
          </w:p>
        </w:tc>
        <w:tc>
          <w:tcPr>
            <w:tcW w:type="dxa" w:w="1128"/>
          </w:tcPr>
          <w:p>
            <w:r/>
            <w:r>
              <w:rPr>
                <w:b/>
                <w:sz w:val="16"/>
              </w:rPr>
              <w:t>η_ext</w:t>
            </w:r>
          </w:p>
        </w:tc>
        <w:tc>
          <w:tcPr>
            <w:tcW w:type="dxa" w:w="1128"/>
          </w:tcPr>
          <w:p>
            <w:r/>
            <w:r>
              <w:rPr>
                <w:b/>
                <w:sz w:val="16"/>
              </w:rPr>
              <w:t>EQE</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0.912</w:t>
            </w:r>
          </w:p>
        </w:tc>
        <w:tc>
          <w:tcPr>
            <w:tcW w:type="dxa" w:w="1128"/>
          </w:tcPr>
          <w:p>
            <w:r/>
            <w:r>
              <w:rPr>
                <w:b w:val="0"/>
                <w:sz w:val="16"/>
              </w:rPr>
              <w:t>0.878</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0.908</w:t>
            </w:r>
          </w:p>
        </w:tc>
        <w:tc>
          <w:tcPr>
            <w:tcW w:type="dxa" w:w="1128"/>
          </w:tcPr>
          <w:p>
            <w:r/>
            <w:r>
              <w:rPr>
                <w:b w:val="0"/>
                <w:sz w:val="16"/>
              </w:rPr>
              <w:t>0.882</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0.976</w:t>
            </w:r>
          </w:p>
        </w:tc>
        <w:tc>
          <w:tcPr>
            <w:tcW w:type="dxa" w:w="1128"/>
          </w:tcPr>
          <w:p>
            <w:r/>
            <w:r>
              <w:rPr>
                <w:b w:val="0"/>
                <w:sz w:val="16"/>
              </w:rPr>
              <w:t>0.010</w:t>
            </w:r>
          </w:p>
        </w:tc>
        <w:tc>
          <w:tcPr>
            <w:tcW w:type="dxa" w:w="1128"/>
          </w:tcPr>
          <w:p>
            <w:r/>
            <w:r>
              <w:rPr>
                <w:b w:val="0"/>
                <w:sz w:val="16"/>
              </w:rPr>
              <w:t>0.029</w:t>
            </w:r>
          </w:p>
        </w:tc>
        <w:tc>
          <w:tcPr>
            <w:tcW w:type="dxa" w:w="1128"/>
          </w:tcPr>
          <w:p>
            <w:r/>
            <w:r>
              <w:rPr>
                <w:b w:val="0"/>
                <w:sz w:val="16"/>
              </w:rPr>
              <w:t>0.906</w:t>
            </w:r>
          </w:p>
        </w:tc>
        <w:tc>
          <w:tcPr>
            <w:tcW w:type="dxa" w:w="1128"/>
          </w:tcPr>
          <w:p>
            <w:r/>
            <w:r>
              <w:rPr>
                <w:b w:val="0"/>
                <w:sz w:val="16"/>
              </w:rPr>
              <w:t>0.884</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0.929</w:t>
            </w:r>
          </w:p>
        </w:tc>
        <w:tc>
          <w:tcPr>
            <w:tcW w:type="dxa" w:w="1128"/>
          </w:tcPr>
          <w:p>
            <w:r/>
            <w:r>
              <w:rPr>
                <w:b w:val="0"/>
                <w:sz w:val="16"/>
              </w:rPr>
              <w:t>0.897</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0.926</w:t>
            </w:r>
          </w:p>
        </w:tc>
        <w:tc>
          <w:tcPr>
            <w:tcW w:type="dxa" w:w="1128"/>
          </w:tcPr>
          <w:p>
            <w:r/>
            <w:r>
              <w:rPr>
                <w:b w:val="0"/>
                <w:sz w:val="16"/>
              </w:rPr>
              <w:t>0.902</w:t>
            </w:r>
          </w:p>
        </w:tc>
      </w:tr>
      <w:tr>
        <w:tc>
          <w:tcPr>
            <w:tcW w:type="dxa" w:w="1128"/>
          </w:tcPr>
          <w:p>
            <w:r/>
            <w:r>
              <w:rPr>
                <w:b w:val="0"/>
                <w:sz w:val="16"/>
              </w:rPr>
              <w:t>200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0.979</w:t>
            </w:r>
          </w:p>
        </w:tc>
        <w:tc>
          <w:tcPr>
            <w:tcW w:type="dxa" w:w="1128"/>
          </w:tcPr>
          <w:p>
            <w:r/>
            <w:r>
              <w:rPr>
                <w:b w:val="0"/>
                <w:sz w:val="16"/>
              </w:rPr>
              <w:t>0.010</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0.905</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w:t>
            </w:r>
          </w:p>
        </w:tc>
        <w:tc>
          <w:tcPr>
            <w:tcW w:type="dxa" w:w="1128"/>
          </w:tcPr>
          <w:p>
            <w:r/>
            <w:r>
              <w:rPr>
                <w:b w:val="0"/>
                <w:sz w:val="16"/>
              </w:rPr>
              <w:t>0.981</w:t>
            </w:r>
          </w:p>
        </w:tc>
        <w:tc>
          <w:tcPr>
            <w:tcW w:type="dxa" w:w="1128"/>
          </w:tcPr>
          <w:p>
            <w:r/>
            <w:r>
              <w:rPr>
                <w:b w:val="0"/>
                <w:sz w:val="16"/>
              </w:rPr>
              <w:t>0.003</w:t>
            </w:r>
          </w:p>
        </w:tc>
        <w:tc>
          <w:tcPr>
            <w:tcW w:type="dxa" w:w="1128"/>
          </w:tcPr>
          <w:p>
            <w:r/>
            <w:r>
              <w:rPr>
                <w:b w:val="0"/>
                <w:sz w:val="16"/>
              </w:rPr>
              <w:t>0.029</w:t>
            </w:r>
          </w:p>
        </w:tc>
        <w:tc>
          <w:tcPr>
            <w:tcW w:type="dxa" w:w="1128"/>
          </w:tcPr>
          <w:p>
            <w:r/>
            <w:r>
              <w:rPr>
                <w:b w:val="0"/>
                <w:sz w:val="16"/>
              </w:rPr>
              <w:t>0.907</w:t>
            </w:r>
          </w:p>
        </w:tc>
        <w:tc>
          <w:tcPr>
            <w:tcW w:type="dxa" w:w="1128"/>
          </w:tcPr>
          <w:p>
            <w:r/>
            <w:r>
              <w:rPr>
                <w:b w:val="0"/>
                <w:sz w:val="16"/>
              </w:rPr>
              <w:t>0.890</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0.981</w:t>
            </w:r>
          </w:p>
        </w:tc>
        <w:tc>
          <w:tcPr>
            <w:tcW w:type="dxa" w:w="1128"/>
          </w:tcPr>
          <w:p>
            <w:r/>
            <w:r>
              <w:rPr>
                <w:b w:val="0"/>
                <w:sz w:val="16"/>
              </w:rPr>
              <w:t>0.002</w:t>
            </w:r>
          </w:p>
        </w:tc>
        <w:tc>
          <w:tcPr>
            <w:tcW w:type="dxa" w:w="1128"/>
          </w:tcPr>
          <w:p>
            <w:r/>
            <w:r>
              <w:rPr>
                <w:b w:val="0"/>
                <w:sz w:val="16"/>
              </w:rPr>
              <w:t>0.029</w:t>
            </w:r>
          </w:p>
        </w:tc>
        <w:tc>
          <w:tcPr>
            <w:tcW w:type="dxa" w:w="1128"/>
          </w:tcPr>
          <w:p>
            <w:r/>
            <w:r>
              <w:rPr>
                <w:b w:val="0"/>
                <w:sz w:val="16"/>
              </w:rPr>
              <w:t>0.903</w:t>
            </w:r>
          </w:p>
        </w:tc>
        <w:tc>
          <w:tcPr>
            <w:tcW w:type="dxa" w:w="1128"/>
          </w:tcPr>
          <w:p>
            <w:r/>
            <w:r>
              <w:rPr>
                <w:b w:val="0"/>
                <w:sz w:val="16"/>
              </w:rPr>
              <w:t>0.886</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0.982</w:t>
            </w:r>
          </w:p>
        </w:tc>
        <w:tc>
          <w:tcPr>
            <w:tcW w:type="dxa" w:w="1128"/>
          </w:tcPr>
          <w:p>
            <w:r/>
            <w:r>
              <w:rPr>
                <w:b w:val="0"/>
                <w:sz w:val="16"/>
              </w:rPr>
              <w:t>0.001</w:t>
            </w:r>
          </w:p>
        </w:tc>
        <w:tc>
          <w:tcPr>
            <w:tcW w:type="dxa" w:w="1128"/>
          </w:tcPr>
          <w:p>
            <w:r/>
            <w:r>
              <w:rPr>
                <w:b w:val="0"/>
                <w:sz w:val="16"/>
              </w:rPr>
              <w:t>0.029</w:t>
            </w:r>
          </w:p>
        </w:tc>
        <w:tc>
          <w:tcPr>
            <w:tcW w:type="dxa" w:w="1128"/>
          </w:tcPr>
          <w:p>
            <w:r/>
            <w:r>
              <w:rPr>
                <w:b w:val="0"/>
                <w:sz w:val="16"/>
              </w:rPr>
              <w:t>0.900</w:t>
            </w:r>
          </w:p>
        </w:tc>
        <w:tc>
          <w:tcPr>
            <w:tcW w:type="dxa" w:w="1128"/>
          </w:tcPr>
          <w:p>
            <w:r/>
            <w:r>
              <w:rPr>
                <w:b w:val="0"/>
                <w:sz w:val="16"/>
              </w:rPr>
              <w:t>0.883</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0.67</w:t>
            </w:r>
          </w:p>
        </w:tc>
        <w:tc>
          <w:tcPr>
            <w:tcW w:type="dxa" w:w="1128"/>
          </w:tcPr>
          <w:p>
            <w:r/>
            <w:r>
              <w:rPr>
                <w:b w:val="0"/>
                <w:sz w:val="16"/>
              </w:rPr>
              <w:t>0.984</w:t>
            </w:r>
          </w:p>
        </w:tc>
        <w:tc>
          <w:tcPr>
            <w:tcW w:type="dxa" w:w="1128"/>
          </w:tcPr>
          <w:p>
            <w:r/>
            <w:r>
              <w:rPr>
                <w:b w:val="0"/>
                <w:sz w:val="16"/>
              </w:rPr>
              <w:t>0.003</w:t>
            </w:r>
          </w:p>
        </w:tc>
        <w:tc>
          <w:tcPr>
            <w:tcW w:type="dxa" w:w="1128"/>
          </w:tcPr>
          <w:p>
            <w:r/>
            <w:r>
              <w:rPr>
                <w:b w:val="0"/>
                <w:sz w:val="16"/>
              </w:rPr>
              <w:t>0.024</w:t>
            </w:r>
          </w:p>
        </w:tc>
        <w:tc>
          <w:tcPr>
            <w:tcW w:type="dxa" w:w="1128"/>
          </w:tcPr>
          <w:p>
            <w:r/>
            <w:r>
              <w:rPr>
                <w:b w:val="0"/>
                <w:sz w:val="16"/>
              </w:rPr>
              <w:t>0.927</w:t>
            </w:r>
          </w:p>
        </w:tc>
        <w:tc>
          <w:tcPr>
            <w:tcW w:type="dxa" w:w="1128"/>
          </w:tcPr>
          <w:p>
            <w:r/>
            <w:r>
              <w:rPr>
                <w:b w:val="0"/>
                <w:sz w:val="16"/>
              </w:rPr>
              <w:t>0.912</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0.80</w:t>
            </w:r>
          </w:p>
        </w:tc>
        <w:tc>
          <w:tcPr>
            <w:tcW w:type="dxa" w:w="1128"/>
          </w:tcPr>
          <w:p>
            <w:r/>
            <w:r>
              <w:rPr>
                <w:b w:val="0"/>
                <w:sz w:val="16"/>
              </w:rPr>
              <w:t>0.984</w:t>
            </w:r>
          </w:p>
        </w:tc>
        <w:tc>
          <w:tcPr>
            <w:tcW w:type="dxa" w:w="1128"/>
          </w:tcPr>
          <w:p>
            <w:r/>
            <w:r>
              <w:rPr>
                <w:b w:val="0"/>
                <w:sz w:val="16"/>
              </w:rPr>
              <w:t>0.002</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0.909</w:t>
            </w:r>
          </w:p>
        </w:tc>
      </w:tr>
      <w:tr>
        <w:tc>
          <w:tcPr>
            <w:tcW w:type="dxa" w:w="1128"/>
          </w:tcPr>
          <w:p>
            <w:r/>
            <w:r>
              <w:rPr>
                <w:b w:val="0"/>
                <w:sz w:val="16"/>
              </w:rPr>
              <w:t>300</w:t>
            </w:r>
          </w:p>
        </w:tc>
        <w:tc>
          <w:tcPr>
            <w:tcW w:type="dxa" w:w="1128"/>
          </w:tcPr>
          <w:p>
            <w:r/>
            <w:r>
              <w:rPr>
                <w:b w:val="0"/>
                <w:sz w:val="16"/>
              </w:rPr>
              <w:t>0.0020</w:t>
            </w:r>
          </w:p>
        </w:tc>
        <w:tc>
          <w:tcPr>
            <w:tcW w:type="dxa" w:w="1128"/>
          </w:tcPr>
          <w:p>
            <w:r/>
            <w:r>
              <w:rPr>
                <w:b w:val="0"/>
                <w:sz w:val="16"/>
              </w:rPr>
              <w:t>0.90</w:t>
            </w:r>
          </w:p>
        </w:tc>
        <w:tc>
          <w:tcPr>
            <w:tcW w:type="dxa" w:w="1128"/>
          </w:tcPr>
          <w:p>
            <w:r/>
            <w:r>
              <w:rPr>
                <w:b w:val="0"/>
                <w:sz w:val="16"/>
              </w:rPr>
              <w:t>0.985</w:t>
            </w:r>
          </w:p>
        </w:tc>
        <w:tc>
          <w:tcPr>
            <w:tcW w:type="dxa" w:w="1128"/>
          </w:tcPr>
          <w:p>
            <w:r/>
            <w:r>
              <w:rPr>
                <w:b w:val="0"/>
                <w:sz w:val="16"/>
              </w:rPr>
              <w:t>0.001</w:t>
            </w:r>
          </w:p>
        </w:tc>
        <w:tc>
          <w:tcPr>
            <w:tcW w:type="dxa" w:w="1128"/>
          </w:tcPr>
          <w:p>
            <w:r/>
            <w:r>
              <w:rPr>
                <w:b w:val="0"/>
                <w:sz w:val="16"/>
              </w:rPr>
              <w:t>0.024</w:t>
            </w:r>
          </w:p>
        </w:tc>
        <w:tc>
          <w:tcPr>
            <w:tcW w:type="dxa" w:w="1128"/>
          </w:tcPr>
          <w:p>
            <w:r/>
            <w:r>
              <w:rPr>
                <w:b w:val="0"/>
                <w:sz w:val="16"/>
              </w:rPr>
              <w:t>0.921</w:t>
            </w:r>
          </w:p>
        </w:tc>
        <w:tc>
          <w:tcPr>
            <w:tcW w:type="dxa" w:w="1128"/>
          </w:tcPr>
          <w:p>
            <w:r/>
            <w:r>
              <w:rPr>
                <w:b w:val="0"/>
                <w:sz w:val="16"/>
              </w:rPr>
              <w:t>0.907</w:t>
            </w:r>
          </w:p>
        </w:tc>
      </w:tr>
    </w:tbl>
    <w:p/>
    <w:p/>
    <w:p>
      <w:r>
        <w:rPr>
          <w:b w:val="0"/>
        </w:rPr>
        <w:t>[[저자의 다파장 통합 모델로 재계산하여 교체]]</w:t>
      </w:r>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BSDF_T, BSDF_R 행렬.</w:t>
      </w:r>
    </w:p>
    <w:p>
      <w:pPr>
        <w:ind w:left="240"/>
      </w:pPr>
      <w:r>
        <w:rPr>
          <w:b w:val="0"/>
        </w:rPr>
        <w:t>– Supplementary Fig. 3. Poynting vector로 추적한 층별 손실(Al 대 Ag 반사체, TCO 두께).</w:t>
      </w:r>
    </w:p>
    <w:p>
      <w:pPr>
        <w:ind w:left="240"/>
      </w:pPr>
      <w:r>
        <w:rPr>
          <w:b w:val="0"/>
        </w:rPr>
        <w:t>– Supplementary Note 2. ZnS/LiF DBR 반사체의 설계: λ/4 스택, 균일 스택의 쌍 수, 점진적 두께 변화(chirp)에 따른 왕복 손실.</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반사체의 설계</w:t>
      </w:r>
    </w:p>
    <w:p/>
    <w:p>
      <w:r>
        <w:rPr>
          <w:b w:val="0"/>
        </w:rPr>
        <w:t>그림 2(i), (j)의 dielectric 반사체은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escape cone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6: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w:t>
      </w:r>
    </w:p>
    <w:p/>
    <w:p>
      <w:pPr>
        <w:spacing w:before="160" w:after="80"/>
      </w:pPr>
      <w:r>
        <w:rPr>
          <w:b/>
          <w:sz w:val="24"/>
        </w:rPr>
        <w:t>저자 확인 필요 항목 ([[ ]])</w:t>
      </w:r>
    </w:p>
    <w:p/>
    <w:p>
      <w:r>
        <w:rPr>
          <w:b w:val="0"/>
        </w:rPr>
        <w:t>1. 제목·저자·소속·교신저자. 2. 서론의 산업계 발표 인용 여부. 3. Methods: 기준 소자 정의, EQE 산출 방법, 그림 4·5의 ITO 광학상수, 그림 5(e)의 스택. 4. 그림 5(e)의 기판 굴절률. 5. 참고문헌 [12], [16]–[19], [21], [22].</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