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반사체와 다중 통과 추출을 이용한 near-unity 광추출 OLED</w:t>
      </w:r>
    </w:p>
    <w:p/>
    <w:p>
      <w:r>
        <w:rPr>
          <w:b w:val="0"/>
        </w:rPr>
        <w:t>[[영문 제목안: Near-unity light extraction in organic light-emitting diodes by multi-pass extraction with low-loss rear reflectors]]</w:t>
      </w:r>
    </w:p>
    <w:p/>
    <w:p>
      <w:r>
        <w:rPr>
          <w:b w:val="0"/>
        </w:rPr>
        <w:t>[[저자·소속·교신저자]]</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다중 통과 추출(multi-pass extraction) 법칙으로 기술하고, 기판에 도달한 빛의 추출 효율이 소자의 왕복 손실, 즉 반사 전극의 Joule dissipation loss와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microlens array가 형성된 고굴절 기판 위의 소자에서는 전류 경로 밖에 둔 보조 반사체만으로 EQE를 61%에서 77%로 높였다. 제안하는 설계는 고배향 발광체, 마이크로캐비티, 정밀하게 최적화된 광추출 구조와 같은 종래의 설계 제약에서 벗어나면서도 등방성 발광체로 80% 후반, 고배향 발광체와 흡수가 더 작은 투명 전극을 결합하면 90%에 이르는 EQE의 경로를 제시하며, 조명과 디스플레이용 OLED뿐 아니라 tandem OLED, QLED, PeLED와 같은 다른 박막 발광 소자에도 적용될 수 있다.</w:t>
      </w:r>
    </w:p>
    <w:p/>
    <w:p>
      <w:pPr>
        <w:spacing w:before="160" w:after="80"/>
      </w:pPr>
      <w:r>
        <w:rPr>
          <w:b/>
          <w:sz w:val="24"/>
        </w:rPr>
        <w:t>서론</w:t>
      </w:r>
    </w:p>
    <w:p/>
    <w:p>
      <w:r>
        <w:rPr>
          <w:b w:val="0"/>
        </w:rPr>
        <w:t>OLED는 높은 색순도, 면발광, 대면적 공정과 같은 장점에 힘입어 현재의 디스플레이 시장을 주도하고 있다. 최근에는 AR/VR 기기와 같은 모바일 XR 시장과 고사양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어렵다고 여겨진다.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마이크로캐비티 구조의 도입[12] 등 OLED 효율 향상 연구의 대부분은 이 값을 끌어올리는 데 초점을 두어 왔다. 이 가운데 외부 광추출 구조를 활용하는 기법은 소자의 전기적 구동에 영향을 주지 않으면서 기판 모드(substrate mode)를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설계 지침,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w:t>
      </w:r>
    </w:p>
    <w:p/>
    <w:p>
      <w:r>
        <w:rPr>
          <w:b w:val="0"/>
        </w:rPr>
        <w:t>이 연구에서는 외부 광추출 구조가 도입된 OLED의 광추출을 다중 통과 추출 과정으로 기술하는 닫힌 형태의 법칙을 유도하고, 파동 광학과 기하 광학을 결합한 통합형 광학 시뮬레이션으로 이를 검증하였다. 그 결과 반사체 역할을 하는 전극에서의 Joule dissipation loss와 투명 전극에서의 흡수, 즉 소자 내부의 기생 흡수가 주된 손실 경로임을 밝혀냈고, 이 손실을 최소화하는 구체적인 설계 규칙을 새롭게 정의하였다. 이에 따라 제작한 소자에서 기판에 도달한 빛의 91.6%가 출광되는 것을 실측으로 확인하였고, microlens array가 형성된 고굴절 기판 위의 소자에 보조 반사체를 추가하여 77%의 EQE를 실험적으로 구현하였으며, 동일한 설계 규칙으로 전극 통합형 소자에서 등방성 발광체로도 80% 후반, 고배향 발광체와 저흡수 투명 전극으로는 90%에 이르는 EQE의 경로를 제시하였다. 이 설계 규칙은 마이크로캐비티나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4"/>
        </w:rPr>
        <w:t>결과</w:t>
      </w:r>
    </w:p>
    <w:p/>
    <w:p>
      <w:pPr>
        <w:spacing w:before="160" w:after="80"/>
      </w:pPr>
      <w:r>
        <w:rPr>
          <w:b/>
          <w:sz w:val="22"/>
        </w:rPr>
        <w:t>다중 통과 추출과 추출 효율의 정의</w:t>
      </w:r>
    </w:p>
    <w:p/>
    <w:p>
      <w:r>
        <w:rPr>
          <w:b w:val="0"/>
        </w:rPr>
        <w:t>그림 1(a)는 일반적인 OLED에 외부 광추출 구조를 부착한 경우와, 본 연구의 설계 규칙에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Joule dissipation loss나 TCO 전극에서의 흡수처럼 한 번의 왕복에서는 작은 손실도 최종 효율에 큰 영향을 미치게 된다. 반대로 본 연구의 설계 규칙에 따라 소자 내 광 손실을 억제한 소자에서는 되돌아온 빛이 거의 손실 없이 다시 광추출 구조로 향하여,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파워의 분율로, 도파 모드(waveguided mode), 표면 플라즈몬 폴라리톤(surface plasmon polariton, SPP) 모드, 그리고 소자 내 흡수에 따른 손실을 제외하고 남은 파워를 의미한다. 대부분의 외부 광추출 구조는 기판과의 굴절률 차이에 따른 추가 손실을 줄이기 위해 기판과 index matching 되므로, 이 경우 η_sub는 곧 광추출 구조까지 전달되는 파워이기도 하다. η_ext는 기판까지 전달된 파워 중 외부 광추출 구조에 의해 최종적으로 공기 중으로 출광되는 분율로, 이하 이를 기판에서 공기로의 추출 효율(sub-to-air extraction efficiency; 이하 sub-to-air 추출 효율)이라 부른다.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반사체이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반사체를 갖는 박막 무기 LED의 광추출에서 알려진 통계 광학의 결과와 같은 구조를 가지며[15,16], 본 연구는 이를 외부 광추출 구조가 붙은 OLED에 적용하여 A′를 다층 박막 스택의 기생 흡수로 정량화한다. 일반적인 OLED에서는 전하수송층으로 사용되는 유기물이 가시광선 대역에서 투명하므로, A′는 반사체 역할을 하는 전극에서의 Joule dissipation loss와 투명 전극에서의 흡수에 의해 주로 결정된다. p는 기판 내부에서 각도가 무작위화된 빛에 대해 대략 1/n_sub² 수준으로[15], 통상적인 유리 기판(n_sub = 1.5)에서 0.4 정도이다.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다만 식 (3)은 되돌아온 빛의 각도가 매 왕복마다 무작위화된다는 가정 위에 서 있다. 밀집 배열된 반구형 microlens array는 되돌리는 빛의 절반 이상을 60° 이상의 가파른 각도로 보내는데, 이 각도의 빛은 다음 통과에서 다시 빠져나갈 확률이 낮으므로 이 가정이 깨지고, 행렬 급수로 구한 η_ext는 식 (3)보다 낮아진다. 그 차이는 소자가 기판으로 보내는 빛의 각도 분포에도 좌우되어, 도파 모드가 기판에 수평에 가까운 각도로 편입되는 n_sub 부근에서는 10%p까지 벌어진다(Supplementary Fig. 1). 따라서 식 (3)은 그림 1–2의 설계 경향과 상한을 보여주는 데 쓰고, 특정 소자의 정량적인 값(그림 3(a), 4, 5, 표 1)은 행렬 급수로 계산하였다.</w:t>
      </w:r>
    </w:p>
    <w:p/>
    <w:p>
      <w:r>
        <w:rPr>
          <w:b w:val="0"/>
        </w:rPr>
        <w:t>식 (2)의 두 인자 가운데 η_sub는 도파 모드와 SPP 손실이 지배적이며, 고굴절 기판의 도입이나 낮은 이상 굴절률(n_e)을 갖는 두꺼운 ETL 등 이를 줄이는 방법론은 비교적 잘 알려져 있어 near-unity의 기판 전달 효율을 구현할 수 있다. 반면 η_ext에 대해서는 알려진 바가 적다. 식 (3)에 따르면 η_ext를 near-unity로 끌어올리는 일은 곧 왕복 손실 A′를 수 % 이하로 줄이는 일이므로, 먼저 이 손실이 소자의 어느 층에서 얼마나 발생하는지를 살펴본다.</w:t>
      </w:r>
    </w:p>
    <w:p/>
    <w:p>
      <w:pPr>
        <w:spacing w:before="160" w:after="80"/>
      </w:pPr>
      <w:r>
        <w:rPr>
          <w:b/>
          <w:sz w:val="22"/>
        </w:rPr>
        <w:t>기생 흡수의 정량화</w:t>
      </w:r>
    </w:p>
    <w:p/>
    <w:p>
      <w:r>
        <w:rPr>
          <w:b w:val="0"/>
        </w:rPr>
        <w:t>이처럼 외부 광추출 구조가 도입된 OLED에서는 소자 내부의 흡수 경로가 최종 효율에 큰 영향을 미친다. ITO와 같은 투명 산화물 전극을 쓰는 기존 OLED에서 이 흡수는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캐비티 조건을 만족시켜 얻는 출광 효율의 이득이 두꺼운 ITO에서 발생하는 흡수 손실보다 컸기 때문이다. 그림 2(a)–(c)는 외부 광추출 구조가 부착된 소자에서 기판으로 되돌아온 빛이 한 번 왕복할 때 잃는 손실을 ITO 두께에 따라 금속 반사체의 Joule dissipation loss와 TCO 흡수로 나누어 Al과 Ag 반사체에 대해 비교하고, 그에 따른 sub-to-air 추출 효율을 나타낸 것이다. 광추출 구조가 없는 소자에서 ITO 흡수는 한 번 지나는 동안의 손실에 그치지만, 여기서는 빛이 ITO를 왕복마다 두 번씩 지나므로 같은 두께에서도 손실이 훨씬 크게 나타난다. ITO가 두꺼워질수록 TCO 흡수는 두께에 비례하여 커지는 반면 금속 반사체의 Joule dissipation loss는 일정하므로, 두 손실이 차지하는 비중은 반사체의 종류에 따라 크게 달라진다. 통상적인 Al 반사체에서는 반사체에서만 왕복당 13%를 잃기 때문에 150 nm의 ITO를 쓰더라도 TCO 흡수는 왕복 손실의 15% 수준에 그치는 반면, 반사체 손실이 1.8%로 줄어드는 저손실 Ag 반사체에서는 같은 ITO가 왕복 손실의 절반 이상을 차지하는 주된 손실 경로가 된다. 그 결과 sub-to-air 추출 효율은 어느 두께에서든 Ag가 Al보다 11–13%p 높고(그림 2(c)), ITO가 30 nm에서 200 nm로 두꺼워지면 Ag에서는 97%에서 93%로, Al에서는 84%에서 82%로 낮아진다. 같은 두께 증가가 Ag에서 더 크게 작용하는 것은 Ag 소자에서는 TCO 흡수가 왕복 손실의 주된 몫이기 때문이다.</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임계각이 작아지고 p가 작아지며, 식 (3)에서 보듯 p가 낮을수록 같은 왕복 손실이라도 공기 중으로 빠져나가기 전에 소자 내에서 소실되는 양이 늘어난다(Supplementary Fig. 2: 광추출 구조의 굴절률에 따른 BSDF_T, BSDF_R). 실제로 기판의 굴절률이 1.3에서 2.0으로 커지는 동안 p는 0.58에서 0.23으로 2.5배 작아지는 반면 왕복 손실 자체는 거의 변하지 않으므로(그림 2(d)), 추출 효율의 감소는 반사체이 나빠져서가 아니라 전적으로 p의 감소에서 비롯되며, Al과 Ag의 추출 효율 차이는 n_sub = 1.3에서 7%p, 1.5에서 12%p, 2.0에서 22%p로 벌어진다(그림 2(e)). 결과적으로 고굴절 광추출 구조를 쓰면 기판에 전달되는 빛은 많아지지만 추출 효율은 감소하며, 기생 흡수가 큰 Al 소자에서는 이 감소가 기판 전달 효율의 향상을 상쇄하여 EQE가 n_sub = 1.8에서 61%로 최대가 된 뒤 더 높은 굴절률에서는 58–60%로 오히려 줄어든다(그림 2(f)). 기존 연구들이 60% 부근에서 정체된 원인이 여기에 있다. 반면 왕복 손실이 수 %에 불과한 Ag 소자에서는 EQE가 기판 굴절률에 따라 계속 증가하여 n_sub = 1.8에서 89%에 이르고 2.0에서도 87%를 유지하며,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 loss에 해당한다[17]. 그림 2(g)–(j)에서 볼 수 있듯이 기판에서 소자 방향으로 입사하는 빛에 대한 각도별, 파장별 왕복 손실은 반사체 구조에 따라 큰 차이를 보인다. 투명 전극을 150 nm의 ITO로 고정한 채 반사체만 바꾸어 비교하면, 발광 스펙트럼과 각도 분포(cos θ sin θ)로 가중 평균한 왕복 손실은 널리 쓰이는 Al 음극에서 15.6%인 반면 Ag 반사체에서는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반사체 역할을 하는 전극의 Joule dissipation loss를 최소화하고, 면저항이 확보되는 범위에서 TCO를 얇고 낮은 extinction coefficient로 만드는 것이 요구된다.</w:t>
      </w:r>
    </w:p>
    <w:p/>
    <w:p>
      <w:r>
        <w:rPr>
          <w:b w:val="0"/>
        </w:rPr>
        <w:t>금속 전극에서 필연적으로 발생하는 Joule dissipation loss를 피하는 대안으로 TCO와 결합한 dielectric 반사체(DBR)을 쓸 수도 있다. 열증착이 가능한 ZnS와 LiF 10쌍을 투명 음극(ITO 50 nm) 뒤에 두고 각 층의 두께를 기판 내 전 각도와 발광 스펙트럼에 대해 최적화한 반사체을 계산하면(그림 2(i), (j); 설계 세부는 Supplementary Note 2), 흡수는 4.1%로 Ag보다 낮지만 stopband 밖의 파장과 각도에서 뒤로 투과되는 1.0%가 더해져 왕복 손실 전체는 5.1%로 Ag와 같은 수준이 된다. 즉 반사체이 금속이든 dielectric이든 식 (3)이 요구하는 것은 왕복 손실이 수 % 이내라는 조건 하나이다. 전극 통합형 구조에서는 투명 전극을 두 번 지나지 않는 두꺼운 Ag가 더 단순하고 손실도 작다. 반면 dielectric 반사체은 전도성이 없어 완성된 소자 위에 전극과 무관하게 덧붙일 수 있으므로, 이미 만들어진 소자의 왕복 손실을 사후에 낮추는 보조 반사체으로 적합하며, 뒤의 실험에서 이 구성을 사용한다.</w:t>
      </w:r>
    </w:p>
    <w:p/>
    <w:p>
      <w:pPr>
        <w:spacing w:before="160" w:after="80"/>
      </w:pPr>
      <w:r>
        <w:rPr>
          <w:b/>
          <w:sz w:val="22"/>
        </w:rPr>
        <w:t>투명 전극의 설계 규칙</w:t>
      </w:r>
    </w:p>
    <w:p/>
    <w:p>
      <w:r>
        <w:rPr>
          <w:b w:val="0"/>
        </w:rPr>
        <w:t>전하수송층이 가시광선 대역에서 투명하고 금속 전극의 Joule dissipation loss를 두꺼운 Ag 전극으로 최소화하면, 투명 전극의 흡수만이 소자 내 주요 기생 흡수 경로로 남는다. 이 때문에 일반적인 OLED와는 다른 설계 규칙이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핵심이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고굴절 기판(n_sub = 1.8)과 반구형 microlens array를 갖는 제안 구조에서 정량화한 결과가 그림 3(a)이다. 통상적인 유리 기판에서는 도파 모드 손실이 η_sub를 지배하여 투명 전극의 영향이 가려지지만, 도파 모드가 제거된 고굴절 기판에서는 투명 전극의 흡수가 남은 손실의 대부분을 차지하므로 그 민감도가 그대로 드러난다.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95%에서 81%로, 달성 가능한 EQE는 91%에서 75%로 감소하고, k = 0.08에서는 EQE가 45%까지 떨어질 만큼 흡수에 민감하므로, 투명 전극의 흡수를 줄이는 것이 새로운 설계 규칙임을 알 수 있다. Thin Ag의 경우 연속막을 이루는 Ag는 n값이 0.04 정도로 매우 낮아 이론적으로는 매우 높은 효율을 기대하게 하지만,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55% 이하로 제한된다. 따라서 TEOLED에서는 공정 조건과 seed layer 공정을 통한 연속막 형태의 thin Ag 열증착이나 저손상 스퍼터 기반의 투명 산화물 전극이 활용되어야 한다.</w:t>
      </w:r>
    </w:p>
    <w:p/>
    <w:p>
      <w:pPr>
        <w:spacing w:before="160" w:after="80"/>
      </w:pPr>
      <w:r>
        <w:rPr>
          <w:b/>
          <w:sz w:val="22"/>
        </w:rPr>
        <w:t>기판 전달 모드의 설계</w:t>
      </w:r>
    </w:p>
    <w:p/>
    <w:p>
      <w:r>
        <w:rPr>
          <w:b w:val="0"/>
        </w:rPr>
        <w:t>식 (2)의 나머지 한 인자인 η_sub도 함께 높여야 EQE가 near-unity에 이른다. η_ext와 달리 여기에는 기존 OLED 광학 설계의 방법론을 그대로 활용할 수 있다. 도파 모드는 유기층과 투명 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도파 모드의 파워가 전부 기판 모드로 옮겨지는 양상을 보여준다.</w:t>
      </w:r>
    </w:p>
    <w:p/>
    <w:p>
      <w:r>
        <w:rPr>
          <w:b w:val="0"/>
        </w:rPr>
        <w:t>그림 3(b)의 evanescent 성분은 in-plane wavevector가 유기층의 light line보다 커서 유기층 안에서 전파하지 못하는 근접장 성분 전체로, 그 대부분은 발광 쌍극자의 근접장이 금속 전극에 결합하여 생기는 SPP 모드이고 나머지는 금속에 직접 흡수되는 lossy surface wave이다. 두 성분 모두 발광층과 금속 사이의 거리에 따라 지수적으로 감소하므로, 발광층과 금속 사이의 전자수송층을 두껍게 두면 억제된다. 그림 3(b)에서도 유기물 층이 두꺼워질수록 evanescent 성분이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흡수를 늘리므로 보다 면밀한 분석이 필요하다.</w:t>
      </w:r>
    </w:p>
    <w:p/>
    <w:p>
      <w:r>
        <w:rPr>
          <w:b w:val="0"/>
        </w:rPr>
        <w:t>여기에 TM 편광이 느끼는 이상 굴절률(n_e)이 낮은 전자수송층을 쓰면 evanescent 성분 가운데 SPP 모드를 더 얇은 두께에서 억제할 수 있다. 그림 3(c)는 ordinary 굴절률을 1.8로 고정하고 n_e를 1.8(등방성)에서 1.5까지 낮춘 ETL을 비교한 것으로, 왼쪽의 TM power dissipation density에서 light line 바깥의 뾰족한 피크가 SPP 모드이다. n_e가 낮아질수록 SPP의 분산 관계가 바뀌어 이 피크가 기판의 light line 쪽으로 이동하며 약해지고, 그 결과 evanescent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2"/>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두 소자 모두에서 저손실 반사체는 전극이 아니라 완성된 소자의 후면을 덮는 보조 반사체로, 전류 경로 밖에 놓인다. 따라서 이 실험은 전극 통합형 설계 자체가 아니라 그 바탕이 되는 다중 통과 추출 법칙을 검증하는 것이며, 보다 안정적인 전기적 구동과 효과적인 전하 주입을 위해 green 소자의 투명 전극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소자 위의 thin film encapsulation과 Parylene-C 층은 상부 Ag 막을 하부 전극과 전기적으로 분리하여 반사체 역할만 하도록 설계하였다. 최대 EQE는 20%에서 55.8%로 2.8배 향상되었으며, 시뮬레이션으로 계산한 기판 전달 효율 η_sub가 60.9%이므로 기판에 도달한 빛의 91.6%가 출광된 것에 해당한다(방출량은 실측, η_sub는 모델 값; Methods). 이는 통상적인 굴절률의 상용 microlens film으로 얻은 값이며, 통합 모델이 예측한 최대 EQE 55.9%와 0.1%p 이내로 일치한다.</w:t>
      </w:r>
    </w:p>
    <w:p/>
    <w:p>
      <w:r>
        <w:rPr>
          <w:b w:val="0"/>
        </w:rPr>
        <w:t>두 번째는 microlens array가 형성된 고굴절 기판(n = 1.77) 위의 orange 인광 OLED로, 고굴절 기판을 통한 초고효율 구현과 dielectric 반사체의 활용 가능성을 확인하였다(그림 4(b)). Al 음극만을 반사체으로 활용한 경우에는 Joule dissipation loss 때문에 EQE가 61%에 그쳤지만, 완성된 소자의 후면에 ZnS/LiF DBR을 보조 반사체으로 추가한 경우에는 77%의 EQE를 확인하였다. 이 경우 기판 전달 효율은 88%로, 약 87.5%의 sub-to-air 추출 효율을 달성한 것이다. 이 DBR은 ZnS와 LiF를 4.5쌍만 열증착한 것으로, 일반적인 DBR이 10쌍 이상의 여러 층을 갖는 것과 달리 유기층 위에 손상 없이 형성할 수 있으며, Ag와 같은 전도성 반사체 없이도 고효율 OLED가 구현 가능함을 보여준다. 두 실험 모두에서 효율 향상은 각 소자의 스택을 그대로 둔 채 반사체를 추가하는 것만으로 얻어졌으며, 이는 향상이 온전히 왕복 손실의 감소에서 비롯됨을 뒷받침한다.</w:t>
      </w:r>
    </w:p>
    <w:p/>
    <w:p>
      <w:pPr>
        <w:spacing w:before="160" w:after="80"/>
      </w:pPr>
      <w:r>
        <w:rPr>
          <w:b/>
          <w:sz w:val="22"/>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마이크로캐비티로 빛을 정면으로 모으거나 높은 배향을 갖는 발광체로 escape cone 안에 최대한 많은 빛을 집중시키는 설계가 필수적이었다. 하지만 그림 3(a)에서 본 것처럼 본 연구의 설계 규칙에서는 two-beam interference나 Fabry–Perot 공진을 형성하는 것보다 소자 내부의 기생 흡수를 최소화하는 것이 훨씬 중요하다. 그림 5(a)에서 볼 수 있듯이 외부 광추출 구조가 없는 경우에는 마이크로캐비티를 형성하기 위해 파장의 1/4배, 3/4배 등 캐비티 차수에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이물에 의한 수율 문제나 누설 전류 개선 등의 이유로 2차 캐비티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31%에서 55%), 이 때문에 현재까지도 많은 발광체 연구가 높은 배향률을 목표로 하고 있다. 하지만 저손실 반사체와 굴절률이 정합된 고굴절 기판을 갖는 본 연구의 구조에서는 같은 범위에서 EQE가 83%에서 85%로 거의 변하지 않아, 등방성(Θ = 0.67)에 가까운 발광체로도 84%에 이른다. 여기서 두 곡선의 차이는 발광체 배향이 아니라 온전히 소자의 왕복 손실에서 온다. 굴절률이 낮은 이방성 전자수송층과 정공수송층을 갖는 실제 재료 스택(B3PyMPM ETL 200–300 nm, TCTA:B3PyMPM EML, TAPC HTL, ITO 50 nm, Ag 100 nm)에 대해 같은 550 nm 단파장 계산을 하면 등방성 발광체로 87%(일반 스택 대비 +3%p), 최근 널리 보고되는 Θ ≈ 0.8–0.9의 발광체[[refs]]로 87.5–88%(+0.5–1%p), 여기에 ITO의 k를 0.0032에서 0.002로 낮추면 89–90%(+2%p)에 이른다(표 1)[[발광 스펙트럼 전체에 대한 다파장 계산으로 확인]]. 이는 제한된 escape cone 안에 빛을 집중시켜야 한다는 설계 방식을 바꿀 뿐 아니라 발광체 개발의 방향에 대해서도 새로운 지침을 제시한다.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loss 때문에 효율이 낮을 뿐 아니라 낮은 aspect ratio에서 효율이 더 가파르게 떨어져 허용 범위도 좁다. 얕은 렌즈일수록 한 번의 만남에서 빠져나가는 확률 p가 작아 왕복 횟수가 늘어나므로, 왕복 손실이 큰 소자에서 손실이 더 크게 누적되기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시료 간 편차와 같은 실제적인 문제를 완화한다.</w:t>
      </w:r>
    </w:p>
    <w:p/>
    <w:p>
      <w:pPr>
        <w:spacing w:before="160" w:after="80"/>
      </w:pPr>
      <w:r>
        <w:rPr>
          <w:b/>
          <w:sz w:val="24"/>
        </w:rPr>
        <w:t>논의</w:t>
      </w:r>
    </w:p>
    <w:p/>
    <w:p>
      <w:r>
        <w:rPr>
          <w:b w:val="0"/>
        </w:rPr>
        <w:t>본 연구에서는 외부 광추출 구조가 적용된 OLED의 광추출을 다중 통과 추출 법칙으로 기술하고 손실 경로를 정량적으로 추적하여, 왕복 손실을 결정하는 소자 내부의 기생 흡수가 최종 효율을 지배한다는 것을 밝히고 이를 최소화하는 새로운 설계 규칙을 제안하였다. 통상적인 굴절률의 기판 위에서 Ag 보조 반사체로 기판에 도달한 빛의 91.6%를 출광시킬 수 있음을 실측으로 확인하였고, 고굴절 광추출 기판 위에서는 dielectric 보조 반사체로 77%의 EQE를 달성하였으며, 전극 통합형 구조에서 등방성 발광체로도 80% 후반, 고배향 발광체(Θ ≈ 0.8–0.9)와 흡수가 더 작은 투명 전극을 결합하면 90%에 이르는 EQE의 경로를 제시하였다. 법칙이 요구하는 것은 왕복 손실이 수 % 이내라는 조건뿐이므로 반사체의 종류는 설계 변수이지 전제가 아니며, 이 설계 규칙은 발광체의 배향과 마이크로캐비티로 대변되는 기존 설계 제약에서 벗어난 높은 설계 자유도를 가지고, 광추출 구조의 형상과 산란 특성에 대해서도 넓은 허용 범위를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이 코드는 aspect ratio 1에서 LightTools로 계산한 반구 BSDF와 B_T(θ), p, η_ext가 소수 셋째 자리까지 일치한다. 파동 광학 시뮬레이션에서는 OLED 내부의 기생 흡수, 반사도 및 투과도를 계산하기 위해 transfer matrix formalism, 고전 다이폴 모델에 기반한 OLED 광 특성 계산 모델, 박막 내 Poynting vector 계산 모델을 이전 문헌[18,19]을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문헌[13,20]의 방식을 따랐으며, 기판까지 전달되는 발광 profile은 semi-infinite한 기판을 가정하여 계산하고 기판에서 소자 방향으로의 반사도를 고려하였다.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왕복을 합한 출광 파워는 P_out = P₀ · P_sub · (I − B_R R)⁻¹ · B_Tᵀ 이다. 이를 파장별로 계산하고 발광 스펙트럼으로 가중하여 EQE와 각도 분포를 얻었다. 각도 의존 양을 왕복하는 빛에 대한 평균 p, A′ ≡ 1 − ⟨R⟩로 치환하고 B_R ≈ 1 − B_T를 쓰면 이 급수는 식 (3)으로 합해진다(Supplementary Note 1). 본문에서 p는 광추출 구조의 BSDF 투과 성분 B_T(θ)를 각도 가중치 cos θ sin θ로 평균한 값으로, 소자와 무관한 광추출 구조 고유의 양이다. 그림 1과 그림 2(c)–(f)의 η_ext, EQE는 식 (3)으로, 그림 3(a), 4, 5와 표 1은 행렬 급수로 계산하였다. 급수에 쓴 microlens array의 BSDF는 육방 최밀 배열 반구(n_MLA = 1.30–2.00, 0.05 간격)에 대한 광선 추적 결과로, 각 소자에는 기판 굴절률과 같은 n_MLA의 BSDF를 썼다(그림 4(b)의 n = 1.77 기판에는 1.75와 1.80의 평균). 식 (3)은 되돌아온 빛의 각도가 매 왕복마다 무작위화된다고 가정하는데, 밀집 배열된 반구형 microlens array는 빛을 가파른 각도로 되돌리는 경향이 있어 급수로 구한 η_ext가 식 (3)보다 낮다. 급수는 소자가 기판으로 보내는 빛의 각도 분포 P_sub(θ)를 그대로 쓰므로, 그림 2(d)–(f)처럼 n_sub를 연속으로 바꾸는 계산에서는 도파 모드가 기판에 수평에 가까운 각도로 편입되는 굴절률(550 nm에서 n_eff = 1.35, 1.52, 1.66, 1.73과 n_sub = n_org = 1.8) 직후마다 η_ext가 최대 10%p 내려갔다가 회복하는 계단이 생긴다(Supplementary Fig. 1). 이 계단은 단파장·고정 두께 계산의 모드 구조를 그대로 반영한 것이어서, 재료와 구조에 무관한 설계 경향을 보이는 그림 2(c)–(f)에는 식 (3)을 쓰고 급수와의 차이는 Supplementary Fig. 1에 제시하였다. 식 (3)은 상한에 해당한다.</w:t>
      </w:r>
    </w:p>
    <w:p/>
    <w:p>
      <w:r>
        <w:rPr>
          <w:b w:val="0"/>
        </w:rPr>
        <w:t>모든 시뮬레이션에서 발광체의 PLQY는 1, 배향은 등방성(horizontal dipole ratio Θ = 2/3)으로 고정하였으며, Θ를 바꾼 것은 그림 5(c)뿐이다. 본문의 설계 규칙 계산은 별도의 언급이 없는 한 550 nm 단파장에서 수행하였고, 그림 2, 3(a), 3(b), 5(c), 5(d)에서는 전하수송층과 발광층을 가시광선 대역에서 흡수가 없는 n = 1.8의 등방성 매질로, 그림 3(c)에서는 ETL만 이방성(n_o = 1.8, n_e 가변)으로 두었다. 그림 5(a), (b), (e)는 [[저자 계산 조건: 재료 스택과 광학상수 기입]]로 계산하였다. 광학상수는 ITO만 König 등[21]이 보고한 값(refractiveindex.info; 550 nm에서 n = 1.864, k = 0.0032)을 사용하였고, 그 밖의 모든 층(Al, IZO, 유기물, ZnS, LiF)은 분광 타원측정(spectroscopic ellipsometry)으로 실측한 값을, Ag는 McPeak 등[24]의 값을 사용하였다. 그림 4의 소자 시뮬레이션에도 각 층의 실측 광학상수를 사용하였다. 표 1의 실제 재료 스택 계산은 550 nm에서 각 층의 실측 광학상수(B3PyMPM과 TCTA:B3PyMPM, TAPC는 이방성 포함)로 P_sub와 R_LED를 구하고, 그림 5와 같은 반구형 microlens array(n_MLA = 1.8)의 BSDF로 급수를 합하여 얻었다.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위의 동일 스택]]으로 제작하였다. OLED 제작에 사용한 모든 유기물은 Lumtec에서 구매하였다.</w:t>
      </w:r>
    </w:p>
    <w:p/>
    <w:p>
      <w:r>
        <w:rPr>
          <w:b w:val="0"/>
        </w:rPr>
        <w:t>제작된 OLED는 sourcemeter, photodiode, spectrometer로 구성된 custom-built goniometer setup에서 특성을 평가하였다[22,23]. [[EQE 산출 방법(각도 분해 측정의 적분 범위, 기판 에지 발광 처리)]]</w:t>
      </w:r>
    </w:p>
    <w:p/>
    <w:p>
      <w:pPr>
        <w:spacing w:before="160" w:after="80"/>
      </w:pPr>
      <w:r>
        <w:rPr>
          <w:b/>
          <w:sz w:val="24"/>
        </w:rPr>
        <w:t>그림 설명</w:t>
      </w:r>
    </w:p>
    <w:p/>
    <w:p>
      <w:r>
        <w:rPr>
          <w:b/>
        </w:rPr>
        <w:t>그림 1. OLED 내 왕복 손실에 따른 광추출 경향.</w:t>
      </w:r>
      <w:r>
        <w:rPr>
          <w:b w:val="0"/>
        </w:rPr>
        <w:t xml:space="preserve"> (a) 일반적인 OLED(위)와 제안하는 설계 규칙을 따른 OLED(아래)에 외부 광추출 구조를 부착했을 때의 광추출 모식도. 기판에 도달한 빛(P_sub)은 광추출 구조에서 일부 투과(B_T)되고 일부는 되돌아와(B_R) 소자 적층 구조에서 반사(R_LED)되어 다시 광추출 구조로 향하며, 왕복마다 A′ = 1 − R_LED를 금속 전극의 Joule dissipation loss와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rPr>
          <w:b/>
        </w:rPr>
        <w:t>그림 2. 소자 구조에 따른 왕복 손실, 기판 전달 효율 및 EQE 경향.</w:t>
      </w:r>
      <w:r>
        <w:rPr>
          <w:b w:val="0"/>
        </w:rPr>
        <w:t xml:space="preserve"> (a, b) 외부 광추출 구조가 부착된 OLED에서 기판으로 되돌아온 빛이 한 번 왕복할 때 잃는 손실 A′를 ITO 두께에 따라 금속 반사체의 Joule dissipation loss(색)와 TCO 흡수(회색)로 나눈 것, Al (a)와 Ag (b) 반사체. (c) 그에 따른 sub-to-air 추출 효율. (d–f) 기판 및 index matching 된 광추출 구조의 굴절률에 따른 (d) 탈출 확률 p와 왕복 손실 A′, (e) 추출 효율 η_ext, (f) 기판 전달 효율 η_sub(점선), EQE(실선) 및 그 차이인 extraction loss(음영). (g–i) 투명 전극을 ITO 150 nm로 고정하고 반사체만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가변)/ITO((a–c) 가변, (d–f) 50 nm, (g–j) 150 nm)/두께 420 nm의 무손실 유기층(n = 1.8)/반사체 100 nm, 550 nm, PLQY = 1, Θ = 2/3. (c), (e), (f)의 η_ext와 EQE는 (a), (b), (d)의 p와 A′를 식 (3)에 넣은 값이며, (d)의 p는 기판과 굴절률이 같은 반구형 microlens array의 BSDF 투과 성분을 각도 가중치 cos θ sin θ로 평균한 단일 통과 탈출 확률이다(n = 1.5에서 0.43, 1.8에서 0.29). 같은 스택을 행렬 급수로 계산한 값과의 비교는 Supplementary Fig. 1에 있다. DBR의 층 두께는 전 각도와 발광 스펙트럼에 대해 최적화하였다(Supplementary Note 2).</w:t>
      </w:r>
    </w:p>
    <w:p/>
    <w:p>
      <w:r>
        <w:rPr>
          <w:b/>
        </w:rPr>
        <w:t>그림 3. OLED 소자 구조에 따른 효율 경향.</w:t>
      </w:r>
      <w:r>
        <w:rPr>
          <w:b w:val="0"/>
        </w:rPr>
        <w:t xml:space="preserve"> (a) ITO 투명 전극(가운데) 또는 thin Ag 투명 전극(오른쪽)을 갖는 왼쪽 구조의 OLED에서 투명 전극의 흡수(ITO의 extinction coefficient k_ITO, 10 nm Ag의 굴절률 n_Ag)에 따른 기판 전달 효율 η_sub, sub-to-air 추출 효율 η_ext 및 EQE. ITO의 굴절률은 1.86(König 등, 550 nm), thin Ag의 k값은 3.82로 고정하였다. 스택은 Ag 100 nm/ETL 200 nm/EML 20 nm/HTL 200 nm/투명 전극/n_sub = 1.8이며, η_ext와 EQE는 n_MLA = 1.8 반구형 microlens array의 BSDF를 넣은 행렬 급수로 구하였다. (b) 기판 굴절률 n_sub = 1.5, 1.65, 1.8에서 유기층 전체 두께 d_org(발광층은 중앙)에 따른 모드별 파워 분율. Ag 반사체, ITO 50 nm, 유기층 n = 1.8. (c) ETL의 extraordinary refractive index n_e에 따른 SPP 억제. 왼쪽: d_ETL = 100 nm에서 in-plane wavevector k_x/k₀에 대한 TM power dissipation density. 오른쪽: ETL 두께에 따른 evanescent 손실(SPP 모드 포함, 유기층 light line 바깥의 근접장 성분 전체). ETL의 ordinary refractive index는 1.8로 고정하였고, 스택은 Ag 100 nm/ETL/EML 20 nm/HTL 50 nm/ITO 50 nm/n_sub = 1.8이다.</w:t>
      </w:r>
    </w:p>
    <w:p/>
    <w:p>
      <w:r>
        <w:rPr>
          <w:b/>
        </w:rPr>
        <w:t>그림 4. Microlens array를 포함한 OLED 소자의 성능.</w:t>
      </w:r>
      <w:r>
        <w:rPr>
          <w:b w:val="0"/>
        </w:rPr>
        <w:t xml:space="preserve"> (a) 유리 기판과 microlens array film 위에 제작하고 봉지층 위에 Ag 보조 반사체를 둔 green 인광 OLED의 소자 구조, J–V–L 및 L–EQE 특성(최대 EQE 20% → 55.8%). (b) microlens array가 형성된 고굴절 기판(n = 1.77) 위에 제작하고 후면에 ZnS/LiF DBR을 둔 orange 인광 OLED의 소자 구조, J–V–L 및 L–EQE 특성(기준 소자 23%, microlens array 기판 + Al 61%, microlens array 기판 + Al + DBR 77%). DBR은 ZnS/LiF alternating layer 4.5 stack으로 구성되며, 각 층의 두께는 genetic algorithm으로 최적화하였다. 두 소자 모두 반사체는 전류 경로 밖의 보조 반사체이다.</w:t>
      </w:r>
    </w:p>
    <w:p/>
    <w:p>
      <w:r>
        <w:rPr>
          <w:b/>
        </w:rPr>
        <w:t>그림 5. 제안하는 설계 규칙이 주는 설계 자유도.</w:t>
      </w:r>
      <w:r>
        <w:rPr>
          <w:b w:val="0"/>
        </w:rPr>
        <w:t xml:space="preserve"> (a) 일반적인 OLED(Al 음극, n_sub = 1.5, 광추출 구조 없음)와 (b) 제안하는 설계 규칙에 따른 소자(Ag 반사체, n_sub = n_MLA = 1.8, microlens array)에서 ETL과 HTL 두께에 따른 EQE. (c) 발광체의 horizontal dipole ratio Θ에 따른 EQE. Reference는 유리 기판(n = 1.5) 위 Al 음극 소자에 microlens array를 부착하고 두께를 캐비티 조건에 맞춘 것(ETL/HTL 80/230 nm), Proposed는 n = 1.8 microlens 기판 위 Ag 소자로 두께를 최적화하지 않은 것(200/200 nm). 점선은 등방성 발광체(Θ = 0.67). (b)–(e)는 모두 식 (1)의 급수로 계산한 값이다. (d) 육방 최밀 배열된 microlens 한 개의 aspect ratio(높이/밑면 반지름)에 따른 EQE(n_sub = n_MLA = 1.8, Al과 Ag 반사체). 점은 최댓값의 95% 이내인 범위의 시작점, 파선은 렌즈가 없는 평면 기판. (e) Scattering layer의 scatterance S와 asymmetry parameter g에 따른 EQE(왼쪽 Al, 오른쪽 Ag 반사체[[n_sub 기입]]). 모든 계산은 550 nm 단파장, PLQY = 1, Θ = 2/3((c) 제외) 가정.</w:t>
      </w:r>
    </w:p>
    <w:p/>
    <w:p>
      <w:pPr>
        <w:spacing w:before="160" w:after="80"/>
      </w:pPr>
      <w:r>
        <w:rPr>
          <w:b/>
          <w:sz w:val="24"/>
        </w:rPr>
        <w:t>표 설명</w:t>
      </w:r>
    </w:p>
    <w:p/>
    <w:p>
      <w:r>
        <w:rPr>
          <w:b/>
        </w:rPr>
        <w:t>표 1. 실제 재료 스택으로 계산한 near-unity 설계의 EQE (550 nm, PLQY = 1).</w:t>
      </w:r>
      <w:r>
        <w:rPr>
          <w:b w:val="0"/>
        </w:rPr>
        <w:t xml:space="preserve"> 스택: Ag 100 nm / B3PyMPM d_ETL / TCTA:B3PyMPM 25 nm (발광 위치 중앙) / TAPC 180 nm / ITO 50 nm / 기판 n = 1.8 + 반구형 microlens array (n_MLA = 1.8, 행렬 급수). 광학상수는 실측값(B3PyMPM n_o/n_e = 1.821/1.609, TCTA:B3PyMPM 1.833/1.671, TAPC 1.691/1.664)이며, ITO는 König 등[21]의 n = 1.864에 k를 0.0032(문헌값) 또는 0.002로 두었다. SPP 손실은 evanescent 성분 전체(SPP 모드 포함)이다. 식 (3)으로 계산하면 η_ext 0.932–0.945, EQE 0.888–0.924로 급수보다 1.4–2.5%p 높다(식 (3)은 상한).</w:t>
      </w:r>
    </w:p>
    <w:p/>
    <w:tbl>
      <w:tblPr>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
              <w:rPr>
                <w:b/>
                <w:sz w:val="16"/>
              </w:rPr>
              <w:t>d_ETL (nm)</w:t>
            </w:r>
          </w:p>
        </w:tc>
        <w:tc>
          <w:tcPr>
            <w:tcW w:type="dxa" w:w="1128"/>
          </w:tcPr>
          <w:p>
            <w:r/>
            <w:r>
              <w:rPr>
                <w:b/>
                <w:sz w:val="16"/>
              </w:rPr>
              <w:t>k_ITO</w:t>
            </w:r>
          </w:p>
        </w:tc>
        <w:tc>
          <w:tcPr>
            <w:tcW w:type="dxa" w:w="1128"/>
          </w:tcPr>
          <w:p>
            <w:r/>
            <w:r>
              <w:rPr>
                <w:b/>
                <w:sz w:val="16"/>
              </w:rPr>
              <w:t>Θ</w:t>
            </w:r>
          </w:p>
        </w:tc>
        <w:tc>
          <w:tcPr>
            <w:tcW w:type="dxa" w:w="1128"/>
          </w:tcPr>
          <w:p>
            <w:r/>
            <w:r>
              <w:rPr>
                <w:b/>
                <w:sz w:val="16"/>
              </w:rPr>
              <w:t>η_sub</w:t>
            </w:r>
          </w:p>
        </w:tc>
        <w:tc>
          <w:tcPr>
            <w:tcW w:type="dxa" w:w="1128"/>
          </w:tcPr>
          <w:p>
            <w:r/>
            <w:r>
              <w:rPr>
                <w:b/>
                <w:sz w:val="16"/>
              </w:rPr>
              <w:t>SPP 손실</w:t>
            </w:r>
          </w:p>
        </w:tc>
        <w:tc>
          <w:tcPr>
            <w:tcW w:type="dxa" w:w="1128"/>
          </w:tcPr>
          <w:p>
            <w:r/>
            <w:r>
              <w:rPr>
                <w:b/>
                <w:sz w:val="16"/>
              </w:rPr>
              <w:t>A′</w:t>
            </w:r>
          </w:p>
        </w:tc>
        <w:tc>
          <w:tcPr>
            <w:tcW w:type="dxa" w:w="1128"/>
          </w:tcPr>
          <w:p>
            <w:r/>
            <w:r>
              <w:rPr>
                <w:b/>
                <w:sz w:val="16"/>
              </w:rPr>
              <w:t>η_ext</w:t>
            </w:r>
          </w:p>
        </w:tc>
        <w:tc>
          <w:tcPr>
            <w:tcW w:type="dxa" w:w="1128"/>
          </w:tcPr>
          <w:p>
            <w:r/>
            <w:r>
              <w:rPr>
                <w:b/>
                <w:sz w:val="16"/>
              </w:rPr>
              <w:t>EQE</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0.67 (등방성)</w:t>
            </w:r>
          </w:p>
        </w:tc>
        <w:tc>
          <w:tcPr>
            <w:tcW w:type="dxa" w:w="1128"/>
          </w:tcPr>
          <w:p>
            <w:r/>
            <w:r>
              <w:rPr>
                <w:b w:val="0"/>
                <w:sz w:val="16"/>
              </w:rPr>
              <w:t>0.952</w:t>
            </w:r>
          </w:p>
        </w:tc>
        <w:tc>
          <w:tcPr>
            <w:tcW w:type="dxa" w:w="1128"/>
          </w:tcPr>
          <w:p>
            <w:r/>
            <w:r>
              <w:rPr>
                <w:b w:val="0"/>
                <w:sz w:val="16"/>
              </w:rPr>
              <w:t>0.034</w:t>
            </w:r>
          </w:p>
        </w:tc>
        <w:tc>
          <w:tcPr>
            <w:tcW w:type="dxa" w:w="1128"/>
          </w:tcPr>
          <w:p>
            <w:r/>
            <w:r>
              <w:rPr>
                <w:b w:val="0"/>
                <w:sz w:val="16"/>
              </w:rPr>
              <w:t>0.029</w:t>
            </w:r>
          </w:p>
        </w:tc>
        <w:tc>
          <w:tcPr>
            <w:tcW w:type="dxa" w:w="1128"/>
          </w:tcPr>
          <w:p>
            <w:r/>
            <w:r>
              <w:rPr>
                <w:b w:val="0"/>
                <w:sz w:val="16"/>
              </w:rPr>
              <w:t>0.912</w:t>
            </w:r>
          </w:p>
        </w:tc>
        <w:tc>
          <w:tcPr>
            <w:tcW w:type="dxa" w:w="1128"/>
          </w:tcPr>
          <w:p>
            <w:r/>
            <w:r>
              <w:rPr>
                <w:b w:val="0"/>
                <w:sz w:val="16"/>
              </w:rPr>
              <w:t>0.869</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0.963</w:t>
            </w:r>
          </w:p>
        </w:tc>
        <w:tc>
          <w:tcPr>
            <w:tcW w:type="dxa" w:w="1128"/>
          </w:tcPr>
          <w:p>
            <w:r/>
            <w:r>
              <w:rPr>
                <w:b w:val="0"/>
                <w:sz w:val="16"/>
              </w:rPr>
              <w:t>0.023</w:t>
            </w:r>
          </w:p>
        </w:tc>
        <w:tc>
          <w:tcPr>
            <w:tcW w:type="dxa" w:w="1128"/>
          </w:tcPr>
          <w:p>
            <w:r/>
            <w:r>
              <w:rPr>
                <w:b w:val="0"/>
                <w:sz w:val="16"/>
              </w:rPr>
              <w:t>0.029</w:t>
            </w:r>
          </w:p>
        </w:tc>
        <w:tc>
          <w:tcPr>
            <w:tcW w:type="dxa" w:w="1128"/>
          </w:tcPr>
          <w:p>
            <w:r/>
            <w:r>
              <w:rPr>
                <w:b w:val="0"/>
                <w:sz w:val="16"/>
              </w:rPr>
              <w:t>0.908</w:t>
            </w:r>
          </w:p>
        </w:tc>
        <w:tc>
          <w:tcPr>
            <w:tcW w:type="dxa" w:w="1128"/>
          </w:tcPr>
          <w:p>
            <w:r/>
            <w:r>
              <w:rPr>
                <w:b w:val="0"/>
                <w:sz w:val="16"/>
              </w:rPr>
              <w:t>0.875</w:t>
            </w:r>
          </w:p>
        </w:tc>
      </w:tr>
      <w:tr>
        <w:tc>
          <w:tcPr>
            <w:tcW w:type="dxa" w:w="1128"/>
          </w:tcPr>
          <w:p>
            <w:r/>
            <w:r>
              <w:rPr>
                <w:b w:val="0"/>
                <w:sz w:val="16"/>
              </w:rPr>
              <w:t>200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0.971</w:t>
            </w:r>
          </w:p>
        </w:tc>
        <w:tc>
          <w:tcPr>
            <w:tcW w:type="dxa" w:w="1128"/>
          </w:tcPr>
          <w:p>
            <w:r/>
            <w:r>
              <w:rPr>
                <w:b w:val="0"/>
                <w:sz w:val="16"/>
              </w:rPr>
              <w:t>0.015</w:t>
            </w:r>
          </w:p>
        </w:tc>
        <w:tc>
          <w:tcPr>
            <w:tcW w:type="dxa" w:w="1128"/>
          </w:tcPr>
          <w:p>
            <w:r/>
            <w:r>
              <w:rPr>
                <w:b w:val="0"/>
                <w:sz w:val="16"/>
              </w:rPr>
              <w:t>0.029</w:t>
            </w:r>
          </w:p>
        </w:tc>
        <w:tc>
          <w:tcPr>
            <w:tcW w:type="dxa" w:w="1128"/>
          </w:tcPr>
          <w:p>
            <w:r/>
            <w:r>
              <w:rPr>
                <w:b w:val="0"/>
                <w:sz w:val="16"/>
              </w:rPr>
              <w:t>0.906</w:t>
            </w:r>
          </w:p>
        </w:tc>
        <w:tc>
          <w:tcPr>
            <w:tcW w:type="dxa" w:w="1128"/>
          </w:tcPr>
          <w:p>
            <w:r/>
            <w:r>
              <w:rPr>
                <w:b w:val="0"/>
                <w:sz w:val="16"/>
              </w:rPr>
              <w:t>0.879</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0.67 (등방성)</w:t>
            </w:r>
          </w:p>
        </w:tc>
        <w:tc>
          <w:tcPr>
            <w:tcW w:type="dxa" w:w="1128"/>
          </w:tcPr>
          <w:p>
            <w:r/>
            <w:r>
              <w:rPr>
                <w:b w:val="0"/>
                <w:sz w:val="16"/>
              </w:rPr>
              <w:t>0.955</w:t>
            </w:r>
          </w:p>
        </w:tc>
        <w:tc>
          <w:tcPr>
            <w:tcW w:type="dxa" w:w="1128"/>
          </w:tcPr>
          <w:p>
            <w:r/>
            <w:r>
              <w:rPr>
                <w:b w:val="0"/>
                <w:sz w:val="16"/>
              </w:rPr>
              <w:t>0.034</w:t>
            </w:r>
          </w:p>
        </w:tc>
        <w:tc>
          <w:tcPr>
            <w:tcW w:type="dxa" w:w="1128"/>
          </w:tcPr>
          <w:p>
            <w:r/>
            <w:r>
              <w:rPr>
                <w:b w:val="0"/>
                <w:sz w:val="16"/>
              </w:rPr>
              <w:t>0.024</w:t>
            </w:r>
          </w:p>
        </w:tc>
        <w:tc>
          <w:tcPr>
            <w:tcW w:type="dxa" w:w="1128"/>
          </w:tcPr>
          <w:p>
            <w:r/>
            <w:r>
              <w:rPr>
                <w:b w:val="0"/>
                <w:sz w:val="16"/>
              </w:rPr>
              <w:t>0.929</w:t>
            </w:r>
          </w:p>
        </w:tc>
        <w:tc>
          <w:tcPr>
            <w:tcW w:type="dxa" w:w="1128"/>
          </w:tcPr>
          <w:p>
            <w:r/>
            <w:r>
              <w:rPr>
                <w:b w:val="0"/>
                <w:sz w:val="16"/>
              </w:rPr>
              <w:t>0.887</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0.80</w:t>
            </w:r>
          </w:p>
        </w:tc>
        <w:tc>
          <w:tcPr>
            <w:tcW w:type="dxa" w:w="1128"/>
          </w:tcPr>
          <w:p>
            <w:r/>
            <w:r>
              <w:rPr>
                <w:b w:val="0"/>
                <w:sz w:val="16"/>
              </w:rPr>
              <w:t>0.966</w:t>
            </w:r>
          </w:p>
        </w:tc>
        <w:tc>
          <w:tcPr>
            <w:tcW w:type="dxa" w:w="1128"/>
          </w:tcPr>
          <w:p>
            <w:r/>
            <w:r>
              <w:rPr>
                <w:b w:val="0"/>
                <w:sz w:val="16"/>
              </w:rPr>
              <w:t>0.023</w:t>
            </w:r>
          </w:p>
        </w:tc>
        <w:tc>
          <w:tcPr>
            <w:tcW w:type="dxa" w:w="1128"/>
          </w:tcPr>
          <w:p>
            <w:r/>
            <w:r>
              <w:rPr>
                <w:b w:val="0"/>
                <w:sz w:val="16"/>
              </w:rPr>
              <w:t>0.024</w:t>
            </w:r>
          </w:p>
        </w:tc>
        <w:tc>
          <w:tcPr>
            <w:tcW w:type="dxa" w:w="1128"/>
          </w:tcPr>
          <w:p>
            <w:r/>
            <w:r>
              <w:rPr>
                <w:b w:val="0"/>
                <w:sz w:val="16"/>
              </w:rPr>
              <w:t>0.926</w:t>
            </w:r>
          </w:p>
        </w:tc>
        <w:tc>
          <w:tcPr>
            <w:tcW w:type="dxa" w:w="1128"/>
          </w:tcPr>
          <w:p>
            <w:r/>
            <w:r>
              <w:rPr>
                <w:b w:val="0"/>
                <w:sz w:val="16"/>
              </w:rPr>
              <w:t>0.894</w:t>
            </w:r>
          </w:p>
        </w:tc>
      </w:tr>
      <w:tr>
        <w:tc>
          <w:tcPr>
            <w:tcW w:type="dxa" w:w="1128"/>
          </w:tcPr>
          <w:p>
            <w:r/>
            <w:r>
              <w:rPr>
                <w:b w:val="0"/>
                <w:sz w:val="16"/>
              </w:rPr>
              <w:t>200</w:t>
            </w:r>
          </w:p>
        </w:tc>
        <w:tc>
          <w:tcPr>
            <w:tcW w:type="dxa" w:w="1128"/>
          </w:tcPr>
          <w:p>
            <w:r/>
            <w:r>
              <w:rPr>
                <w:b w:val="0"/>
                <w:sz w:val="16"/>
              </w:rPr>
              <w:t>0.002</w:t>
            </w:r>
          </w:p>
        </w:tc>
        <w:tc>
          <w:tcPr>
            <w:tcW w:type="dxa" w:w="1128"/>
          </w:tcPr>
          <w:p>
            <w:r/>
            <w:r>
              <w:rPr>
                <w:b w:val="0"/>
                <w:sz w:val="16"/>
              </w:rPr>
              <w:t>0.90</w:t>
            </w:r>
          </w:p>
        </w:tc>
        <w:tc>
          <w:tcPr>
            <w:tcW w:type="dxa" w:w="1128"/>
          </w:tcPr>
          <w:p>
            <w:r/>
            <w:r>
              <w:rPr>
                <w:b w:val="0"/>
                <w:sz w:val="16"/>
              </w:rPr>
              <w:t>0.973</w:t>
            </w:r>
          </w:p>
        </w:tc>
        <w:tc>
          <w:tcPr>
            <w:tcW w:type="dxa" w:w="1128"/>
          </w:tcPr>
          <w:p>
            <w:r/>
            <w:r>
              <w:rPr>
                <w:b w:val="0"/>
                <w:sz w:val="16"/>
              </w:rPr>
              <w:t>0.015</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0.899</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0.67 (등방성)</w:t>
            </w:r>
          </w:p>
        </w:tc>
        <w:tc>
          <w:tcPr>
            <w:tcW w:type="dxa" w:w="1128"/>
          </w:tcPr>
          <w:p>
            <w:r/>
            <w:r>
              <w:rPr>
                <w:b w:val="0"/>
                <w:sz w:val="16"/>
              </w:rPr>
              <w:t>0.963</w:t>
            </w:r>
          </w:p>
        </w:tc>
        <w:tc>
          <w:tcPr>
            <w:tcW w:type="dxa" w:w="1128"/>
          </w:tcPr>
          <w:p>
            <w:r/>
            <w:r>
              <w:rPr>
                <w:b w:val="0"/>
                <w:sz w:val="16"/>
              </w:rPr>
              <w:t>0.021</w:t>
            </w:r>
          </w:p>
        </w:tc>
        <w:tc>
          <w:tcPr>
            <w:tcW w:type="dxa" w:w="1128"/>
          </w:tcPr>
          <w:p>
            <w:r/>
            <w:r>
              <w:rPr>
                <w:b w:val="0"/>
                <w:sz w:val="16"/>
              </w:rPr>
              <w:t>0.029</w:t>
            </w:r>
          </w:p>
        </w:tc>
        <w:tc>
          <w:tcPr>
            <w:tcW w:type="dxa" w:w="1128"/>
          </w:tcPr>
          <w:p>
            <w:r/>
            <w:r>
              <w:rPr>
                <w:b w:val="0"/>
                <w:sz w:val="16"/>
              </w:rPr>
              <w:t>0.907</w:t>
            </w:r>
          </w:p>
        </w:tc>
        <w:tc>
          <w:tcPr>
            <w:tcW w:type="dxa" w:w="1128"/>
          </w:tcPr>
          <w:p>
            <w:r/>
            <w:r>
              <w:rPr>
                <w:b w:val="0"/>
                <w:sz w:val="16"/>
              </w:rPr>
              <w:t>0.874</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0.80</w:t>
            </w:r>
          </w:p>
        </w:tc>
        <w:tc>
          <w:tcPr>
            <w:tcW w:type="dxa" w:w="1128"/>
          </w:tcPr>
          <w:p>
            <w:r/>
            <w:r>
              <w:rPr>
                <w:b w:val="0"/>
                <w:sz w:val="16"/>
              </w:rPr>
              <w:t>0.970</w:t>
            </w:r>
          </w:p>
        </w:tc>
        <w:tc>
          <w:tcPr>
            <w:tcW w:type="dxa" w:w="1128"/>
          </w:tcPr>
          <w:p>
            <w:r/>
            <w:r>
              <w:rPr>
                <w:b w:val="0"/>
                <w:sz w:val="16"/>
              </w:rPr>
              <w:t>0.014</w:t>
            </w:r>
          </w:p>
        </w:tc>
        <w:tc>
          <w:tcPr>
            <w:tcW w:type="dxa" w:w="1128"/>
          </w:tcPr>
          <w:p>
            <w:r/>
            <w:r>
              <w:rPr>
                <w:b w:val="0"/>
                <w:sz w:val="16"/>
              </w:rPr>
              <w:t>0.029</w:t>
            </w:r>
          </w:p>
        </w:tc>
        <w:tc>
          <w:tcPr>
            <w:tcW w:type="dxa" w:w="1128"/>
          </w:tcPr>
          <w:p>
            <w:r/>
            <w:r>
              <w:rPr>
                <w:b w:val="0"/>
                <w:sz w:val="16"/>
              </w:rPr>
              <w:t>0.903</w:t>
            </w:r>
          </w:p>
        </w:tc>
        <w:tc>
          <w:tcPr>
            <w:tcW w:type="dxa" w:w="1128"/>
          </w:tcPr>
          <w:p>
            <w:r/>
            <w:r>
              <w:rPr>
                <w:b w:val="0"/>
                <w:sz w:val="16"/>
              </w:rPr>
              <w:t>0.875</w:t>
            </w:r>
          </w:p>
        </w:tc>
      </w:tr>
      <w:tr>
        <w:tc>
          <w:tcPr>
            <w:tcW w:type="dxa" w:w="1128"/>
          </w:tcPr>
          <w:p>
            <w:r/>
            <w:r>
              <w:rPr>
                <w:b w:val="0"/>
                <w:sz w:val="16"/>
              </w:rPr>
              <w:t>300</w:t>
            </w:r>
          </w:p>
        </w:tc>
        <w:tc>
          <w:tcPr>
            <w:tcW w:type="dxa" w:w="1128"/>
          </w:tcPr>
          <w:p>
            <w:r/>
            <w:r>
              <w:rPr>
                <w:b w:val="0"/>
                <w:sz w:val="16"/>
              </w:rPr>
              <w:t>0.0032</w:t>
            </w:r>
          </w:p>
        </w:tc>
        <w:tc>
          <w:tcPr>
            <w:tcW w:type="dxa" w:w="1128"/>
          </w:tcPr>
          <w:p>
            <w:r/>
            <w:r>
              <w:rPr>
                <w:b w:val="0"/>
                <w:sz w:val="16"/>
              </w:rPr>
              <w:t>0.90</w:t>
            </w:r>
          </w:p>
        </w:tc>
        <w:tc>
          <w:tcPr>
            <w:tcW w:type="dxa" w:w="1128"/>
          </w:tcPr>
          <w:p>
            <w:r/>
            <w:r>
              <w:rPr>
                <w:b w:val="0"/>
                <w:sz w:val="16"/>
              </w:rPr>
              <w:t>0.974</w:t>
            </w:r>
          </w:p>
        </w:tc>
        <w:tc>
          <w:tcPr>
            <w:tcW w:type="dxa" w:w="1128"/>
          </w:tcPr>
          <w:p>
            <w:r/>
            <w:r>
              <w:rPr>
                <w:b w:val="0"/>
                <w:sz w:val="16"/>
              </w:rPr>
              <w:t>0.009</w:t>
            </w:r>
          </w:p>
        </w:tc>
        <w:tc>
          <w:tcPr>
            <w:tcW w:type="dxa" w:w="1128"/>
          </w:tcPr>
          <w:p>
            <w:r/>
            <w:r>
              <w:rPr>
                <w:b w:val="0"/>
                <w:sz w:val="16"/>
              </w:rPr>
              <w:t>0.029</w:t>
            </w:r>
          </w:p>
        </w:tc>
        <w:tc>
          <w:tcPr>
            <w:tcW w:type="dxa" w:w="1128"/>
          </w:tcPr>
          <w:p>
            <w:r/>
            <w:r>
              <w:rPr>
                <w:b w:val="0"/>
                <w:sz w:val="16"/>
              </w:rPr>
              <w:t>0.900</w:t>
            </w:r>
          </w:p>
        </w:tc>
        <w:tc>
          <w:tcPr>
            <w:tcW w:type="dxa" w:w="1128"/>
          </w:tcPr>
          <w:p>
            <w:r/>
            <w:r>
              <w:rPr>
                <w:b w:val="0"/>
                <w:sz w:val="16"/>
              </w:rPr>
              <w:t>0.877</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0.67 (등방성)</w:t>
            </w:r>
          </w:p>
        </w:tc>
        <w:tc>
          <w:tcPr>
            <w:tcW w:type="dxa" w:w="1128"/>
          </w:tcPr>
          <w:p>
            <w:r/>
            <w:r>
              <w:rPr>
                <w:b w:val="0"/>
                <w:sz w:val="16"/>
              </w:rPr>
              <w:t>0.966</w:t>
            </w:r>
          </w:p>
        </w:tc>
        <w:tc>
          <w:tcPr>
            <w:tcW w:type="dxa" w:w="1128"/>
          </w:tcPr>
          <w:p>
            <w:r/>
            <w:r>
              <w:rPr>
                <w:b w:val="0"/>
                <w:sz w:val="16"/>
              </w:rPr>
              <w:t>0.021</w:t>
            </w:r>
          </w:p>
        </w:tc>
        <w:tc>
          <w:tcPr>
            <w:tcW w:type="dxa" w:w="1128"/>
          </w:tcPr>
          <w:p>
            <w:r/>
            <w:r>
              <w:rPr>
                <w:b w:val="0"/>
                <w:sz w:val="16"/>
              </w:rPr>
              <w:t>0.024</w:t>
            </w:r>
          </w:p>
        </w:tc>
        <w:tc>
          <w:tcPr>
            <w:tcW w:type="dxa" w:w="1128"/>
          </w:tcPr>
          <w:p>
            <w:r/>
            <w:r>
              <w:rPr>
                <w:b w:val="0"/>
                <w:sz w:val="16"/>
              </w:rPr>
              <w:t>0.927</w:t>
            </w:r>
          </w:p>
        </w:tc>
        <w:tc>
          <w:tcPr>
            <w:tcW w:type="dxa" w:w="1128"/>
          </w:tcPr>
          <w:p>
            <w:r/>
            <w:r>
              <w:rPr>
                <w:b w:val="0"/>
                <w:sz w:val="16"/>
              </w:rPr>
              <w:t>0.895</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0.80</w:t>
            </w:r>
          </w:p>
        </w:tc>
        <w:tc>
          <w:tcPr>
            <w:tcW w:type="dxa" w:w="1128"/>
          </w:tcPr>
          <w:p>
            <w:r/>
            <w:r>
              <w:rPr>
                <w:b w:val="0"/>
                <w:sz w:val="16"/>
              </w:rPr>
              <w:t>0.973</w:t>
            </w:r>
          </w:p>
        </w:tc>
        <w:tc>
          <w:tcPr>
            <w:tcW w:type="dxa" w:w="1128"/>
          </w:tcPr>
          <w:p>
            <w:r/>
            <w:r>
              <w:rPr>
                <w:b w:val="0"/>
                <w:sz w:val="16"/>
              </w:rPr>
              <w:t>0.014</w:t>
            </w:r>
          </w:p>
        </w:tc>
        <w:tc>
          <w:tcPr>
            <w:tcW w:type="dxa" w:w="1128"/>
          </w:tcPr>
          <w:p>
            <w:r/>
            <w:r>
              <w:rPr>
                <w:b w:val="0"/>
                <w:sz w:val="16"/>
              </w:rPr>
              <w:t>0.024</w:t>
            </w:r>
          </w:p>
        </w:tc>
        <w:tc>
          <w:tcPr>
            <w:tcW w:type="dxa" w:w="1128"/>
          </w:tcPr>
          <w:p>
            <w:r/>
            <w:r>
              <w:rPr>
                <w:b w:val="0"/>
                <w:sz w:val="16"/>
              </w:rPr>
              <w:t>0.924</w:t>
            </w:r>
          </w:p>
        </w:tc>
        <w:tc>
          <w:tcPr>
            <w:tcW w:type="dxa" w:w="1128"/>
          </w:tcPr>
          <w:p>
            <w:r/>
            <w:r>
              <w:rPr>
                <w:b w:val="0"/>
                <w:sz w:val="16"/>
              </w:rPr>
              <w:t>0.898</w:t>
            </w:r>
          </w:p>
        </w:tc>
      </w:tr>
      <w:tr>
        <w:tc>
          <w:tcPr>
            <w:tcW w:type="dxa" w:w="1128"/>
          </w:tcPr>
          <w:p>
            <w:r/>
            <w:r>
              <w:rPr>
                <w:b w:val="0"/>
                <w:sz w:val="16"/>
              </w:rPr>
              <w:t>300</w:t>
            </w:r>
          </w:p>
        </w:tc>
        <w:tc>
          <w:tcPr>
            <w:tcW w:type="dxa" w:w="1128"/>
          </w:tcPr>
          <w:p>
            <w:r/>
            <w:r>
              <w:rPr>
                <w:b w:val="0"/>
                <w:sz w:val="16"/>
              </w:rPr>
              <w:t>0.002</w:t>
            </w:r>
          </w:p>
        </w:tc>
        <w:tc>
          <w:tcPr>
            <w:tcW w:type="dxa" w:w="1128"/>
          </w:tcPr>
          <w:p>
            <w:r/>
            <w:r>
              <w:rPr>
                <w:b w:val="0"/>
                <w:sz w:val="16"/>
              </w:rPr>
              <w:t>0.90</w:t>
            </w:r>
          </w:p>
        </w:tc>
        <w:tc>
          <w:tcPr>
            <w:tcW w:type="dxa" w:w="1128"/>
          </w:tcPr>
          <w:p>
            <w:r/>
            <w:r>
              <w:rPr>
                <w:b w:val="0"/>
                <w:sz w:val="16"/>
              </w:rPr>
              <w:t>0.978</w:t>
            </w:r>
          </w:p>
        </w:tc>
        <w:tc>
          <w:tcPr>
            <w:tcW w:type="dxa" w:w="1128"/>
          </w:tcPr>
          <w:p>
            <w:r/>
            <w:r>
              <w:rPr>
                <w:b w:val="0"/>
                <w:sz w:val="16"/>
              </w:rPr>
              <w:t>0.009</w:t>
            </w:r>
          </w:p>
        </w:tc>
        <w:tc>
          <w:tcPr>
            <w:tcW w:type="dxa" w:w="1128"/>
          </w:tcPr>
          <w:p>
            <w:r/>
            <w:r>
              <w:rPr>
                <w:b w:val="0"/>
                <w:sz w:val="16"/>
              </w:rPr>
              <w:t>0.024</w:t>
            </w:r>
          </w:p>
        </w:tc>
        <w:tc>
          <w:tcPr>
            <w:tcW w:type="dxa" w:w="1128"/>
          </w:tcPr>
          <w:p>
            <w:r/>
            <w:r>
              <w:rPr>
                <w:b w:val="0"/>
                <w:sz w:val="16"/>
              </w:rPr>
              <w:t>0.921</w:t>
            </w:r>
          </w:p>
        </w:tc>
        <w:tc>
          <w:tcPr>
            <w:tcW w:type="dxa" w:w="1128"/>
          </w:tcPr>
          <w:p>
            <w:r/>
            <w:r>
              <w:rPr>
                <w:b w:val="0"/>
                <w:sz w:val="16"/>
              </w:rPr>
              <w:t>0.900</w:t>
            </w:r>
          </w:p>
        </w:tc>
      </w:tr>
    </w:tbl>
    <w:p/>
    <w:p/>
    <w:p>
      <w:r>
        <w:rPr>
          <w:b w:val="0"/>
        </w:rPr>
        <w:t>[[저자의 다파장 통합 모델로 재계산하여 교체]]</w:t>
      </w:r>
    </w:p>
    <w:p/>
    <w:p>
      <w:pPr>
        <w:spacing w:before="160" w:after="80"/>
      </w:pPr>
      <w:r>
        <w:rPr>
          <w:b/>
          <w:sz w:val="24"/>
        </w:rPr>
        <w:t>보충자료 목록</w:t>
      </w:r>
    </w:p>
    <w:p/>
    <w:p>
      <w:pPr>
        <w:ind w:left="240"/>
      </w:pPr>
      <w:r>
        <w:rPr>
          <w:b w:val="0"/>
        </w:rPr>
        <w:t>– Supplementary Note 1. 식 (2), (3)의 유도와 각도·파장 분해된 행렬 형태; 닫힌형 법칙과 행렬 급수의 비교(Supplementary Fig. 1: 그림 2(c)–(f)의 스택에서 기판 굴절률(Δn_sub = 0.01)과 반구형 MLA의 aspect ratio에 대한 두 계산의 비교; 도파 모드가 기판에 편입되는 굴절률 직후에 생기는 급수의 계단과 기판 내 70° 이상 성분의 비율).</w:t>
      </w:r>
    </w:p>
    <w:p>
      <w:pPr>
        <w:ind w:left="240"/>
      </w:pPr>
      <w:r>
        <w:rPr>
          <w:b w:val="0"/>
        </w:rPr>
        <w:t>– Supplementary Fig. 2. 광추출 구조(microlens array)의 굴절률에 따른 BSDF_T, BSDF_R 행렬.</w:t>
      </w:r>
    </w:p>
    <w:p>
      <w:pPr>
        <w:ind w:left="240"/>
      </w:pPr>
      <w:r>
        <w:rPr>
          <w:b w:val="0"/>
        </w:rPr>
        <w:t>– Supplementary Fig. 3. Poynting vector로 추적한 층별 손실(Al 대 Ag 반사체, TCO 두께).</w:t>
      </w:r>
    </w:p>
    <w:p>
      <w:pPr>
        <w:ind w:left="240"/>
      </w:pPr>
      <w:r>
        <w:rPr>
          <w:b w:val="0"/>
        </w:rPr>
        <w:t>– Supplementary Note 2. ZnS/LiF DBR 반사체의 설계: λ/4 스택, 균일 스택의 쌍 수, 점진적 두께 변화(chirp)에 따른 왕복 손실.</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반사체의 설계</w:t>
      </w:r>
    </w:p>
    <w:p/>
    <w:p>
      <w:r>
        <w:rPr>
          <w:b w:val="0"/>
        </w:rPr>
        <w:t>그림 2(i), (j)의 dielectric 반사체은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escape cone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6: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Yablonovitch, E. J. Opt. Soc. Am. 72, 899 (1982). [16] Miller, O. D., Yablonovitch, E. &amp; Kurtz, S. R. IEEE J. Photovolt. 2, 303 (2012). [17] [[TCO/금속 흡수 참고문헌]]. [18] [[CPS/다이폴 모델 문헌: Neyts 1998 / Furno 2012]]. [19] [[Poynting vector 모델 문헌]]. [20] [[통합(trans-scale) 모델 문헌: 본 그룹 선행 논문]]. [21] König, T. A. F. et al. ACS Nano 8, 6182 (2014). [22], [23] [[측정 장비 문헌 Ref X, Y]]. [24] McPeak, K. M. et al. ACS Photon. 2, 326 (2015).</w:t>
      </w:r>
    </w:p>
    <w:p/>
    <w:p>
      <w:pPr>
        <w:spacing w:before="160" w:after="80"/>
      </w:pPr>
      <w:r>
        <w:rPr>
          <w:b/>
          <w:sz w:val="24"/>
        </w:rPr>
        <w:t>저자 확인 필요 항목 ([[ ]])</w:t>
      </w:r>
    </w:p>
    <w:p/>
    <w:p>
      <w:r>
        <w:rPr>
          <w:b w:val="0"/>
        </w:rPr>
        <w:t>1. 제목·저자·소속·교신저자. 2. 서론의 산업계 발표 인용 여부. 3. Methods: Ag 반사체 증착 조건, 기준 소자 정의, EQE 산출 방법. 4. 그림 5(e)의 기판 굴절률. 5. 참고문헌 [12], [16]–[19], [21], [22].</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