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더 뚜렷하게 드러난다. 이러한 경향은 η_sub 및 EQE를 증가시키기 위해 고굴절 기판과 광추출 구조를 활용할 때 더욱 크게 작용한다(그림 2(b)). 고굴절 광추출 구조를 사용하면 광추출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2(c)).</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2(d)에서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이 손실이 발생하는 위치를 층별로 추적하면, 가시광선 대역에서 투명한 유기물 층을 지날 때는 손실이 없지만 TCO를 지날 때는 두께에 비례하는 손실이 발생하고, 금속 전극에서 반사될 때는 Al에서 훨씬 큰 손실이 발생한다(Supplementary Fig. X). 이는 그림 2(a)에서 왕복 손실을 거울의 ohmic 손실과 TCO 흡수로 나눈 결과와 일치한다.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