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두 배 더 뚜렷하게 나타난다. 이러한 경향은 η_sub 및 EQE를 증가시키기 위해 고굴절 기판과 광추출 구조를 활용할 때 더욱 크게 작용한다(그림 2(d), (e)). 고굴절 광추출 구조를 사용하면 광 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실제로 기판의 굴절률이 1.3에서 2.0으로 커지는 동안 p는 2.7배 작아지는 반면 왕복 손실 자체는 거의 변하지 않으므로(그림 2(d)), 추출 효율의 감소는 반사판이 나빠져서가 아니라 전적으로 p의 감소에서 비롯된다.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2(f)).</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각도별, 파장별 round-trip 손실은 반사판 구조에 따라 큰 차이를 보인다. 투명 전극을 150 nm의 ITO로 고정한 채 반사판만 바꾸어 비교하면, 널리 쓰이는 Al 음극에서는 각도와 파장에 대해 평균 16%의 손실이 발생하는 반면 Ag 반사판에서는 4.5%로 세 배 이상 낮아진다. 반사도뿐 아니라 기판에 도달한 빛의 각도 분포와 되돌아오는 빛의 각도 분포도 중요하므로, 같은 전극이라도 기생 흡수를 최소화하는 방향의 설계가 중요하다. OLED 내 반사 전극의 ohmic 손실과 TCO의 광 손실을 Poynting vector 기반으로 도식화한 결과는 Supplementary Fig x와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유전체 반사판은 전기 전도성이 없으므로 유기층과 접하는 면에 투명 전극이 따로 필요하며, 여기서는 50 nm의 IZO 위에 ZnS와 LiF를 10쌍 적층한 구조를 가정하였다(그림 2(i), (j)). 유전체 거울 자체의 흡수는 0.7%에 그쳐 Ag 전극의 ohmic 손실 1.7%를 확실히 대체하지만, 새로 더해진 투명 전극이 0.9%를 흡수하고 stopband를 벗어난 빛이 1.1% 투과되어 전체 왕복 손실은 5.5%가 된다. 즉 금속을 없애 얻은 이득의 대부분이 그 자리를 대신하는 투명 전극과 stopband 밖 누설에서 다시 소모되며, 이 구조는 Ag 반사판의 4.5%에 근접하되 이를 넘어서지는 못한다. 한편 탈출 원뿔 바깥의 각도에서는 빛이 공기로 빠져나갈 수 없어 투과가 정확히 0이 되지만, 전반사는 스택의 마지막 계면에서 일어나므로 빛은 그 전까지 TCO와 유전체 층을 모두 통과한다. 따라서 이 영역의 손실은 전적으로 층 내부의 흡수이며, 스택이 공진하는 각도·파장 조합에서 내부 전장이 증폭되어 흡수가 국소적으로 커진다(그림 2(i)의 빗살 무늬). 모든 층을 무손실로 두고 계산하면 이 영역의 손실은 정확히 0이 되어, 남은 손실이 전적으로 TCO와 LiF의 흡수임을 확인할 수 있다. 다만 이때 각 층의 두께는 발광 파장에서 단순히 λ/4 조건을 맞추어 정할 수 없다. 빗각으로 입사하는 빛에 대해서는 stopband가 단파장 쪽으로 이동하고 두 물질이 동시에 λ/4 조건을 만족하지 못하게 되어, 탈출 원뿔 안쪽 각도에서 빛이 뒤로 투과되기 때문이다. 같은 두께의 쌍을 더 쌓는 것으로도 해결되지 않는다. 쌍 수를 늘리면 stopband는 깊어질 뿐 넓어지지 않으므로, 두께가 균일한 스택에서는 10쌍, 15쌍, 20쌍에서 왕복 손실이 각각 6.6%, 6.8%, 7.1%로 오히려 커진다. 반면 적층 방향을 따라 두께를 점진적으로 늘리면 각 쌍이 조금씩 다른 파장을 담당하게 되어 stopband가 넓어진다. 본 연구에서는 기판 내 전 각도와 발광 스펙트럼 전 파장에 대한 흡수와 투과를 모두 고려하여 genetic algorithm으로 각 층의 두께를 최적화하였으며, 그 결과는 ZnS가 55 nm에서 77 nm로, LiF가 91 nm에서 127 nm로 점증하는 10쌍 구조였다. 같은 10쌍이라도 550 nm에서 λ/4 조건으로 설계하면 왕복 손실이 9.7%로 커진다. 쌍 수를 15쌍 이상으로 늘리면 누설이 0.4%까지 줄어 왕복 손실이 5.0%에 도달하지만, 그 이상은 두 층의 TCO 흡수가 남아 반사판 설계만으로는 더 내려가지 않는다. 결국 이 경로에서도 투명 전극의 흡수를 줄이는 것이 마지막 관건이 된다.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