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두 배 더 뚜렷하게 나타난다. 이러한 경향은 η_sub 및 EQE를 증가시키기 위해 고굴절 기판과 광추출 구조를 활용할 때 더욱 크게 작용한다(그림 2(d), (e)). 고굴절 광추출 구조를 사용하면 광 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실제로 기판의 굴절률이 1.3에서 2.0으로 커지는 동안 p는 2.7배 작아지는 반면 왕복 손실 자체는 거의 변하지 않으므로(그림 2(d)), 추출 효율의 감소는 반사판이 나빠져서가 아니라 전적으로 p의 감소에서 비롯된다.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2(f)).</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각도별, 파장별 round-trip 손실은 반사판 구조에 따라 큰 차이를 보인다. 투명 전극을 150 nm의 ITO로 고정한 채 반사판만 바꾸어 비교하면, 널리 쓰이는 Al 음극에서는 각도와 파장에 대해 평균 16%의 손실이 발생하는 반면 Ag 반사판에서는 4.5%로 세 배 이상 낮아진다. 반사도뿐 아니라 기판에 도달한 빛의 각도 분포와 되돌아오는 빛의 각도 분포도 중요하므로, 같은 전극이라도 기생 흡수를 최소화하는 방향의 설계가 중요하다. OLED 내 반사 전극의 ohmic 손실과 TCO의 광 손실을 Poynting vector 기반으로 도식화한 결과는 Supplementary Fig x와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ZnS와 LiF를 10쌍 적층한 DBR을 반사판으로 사용하면 흡수는 3.4%로 Ag보다도 낮으며, 왕복 손실 전체로도 5.5%로 Ag에 근접한다(그림 2(i), (j)). 다만 이때 각 층의 두께는 발광 파장에서 단순히 λ/4 조건을 맞추어 정할 수 없다. 빗각으로 입사하는 빛에 대해서는 stopband가 단파장 쪽으로 이동하고 두 물질이 동시에 λ/4 조건을 만족하지 못하게 되어, 탈출 원뿔 안쪽 각도에서 빛이 뒤로 투과되기 때문이다. 본 연구에서는 기판 내 전 각도와 발광 스펙트럼 전 파장에 대한 흡수와 투과를 모두 고려하여 genetic algorithm으로 각 층의 두께를 최적화하였으며, 같은 10쌍이라도 550 nm에서 λ/4 조건으로 설계하면 왕복 손실이 8.8%로 커진다.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